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0500F5">
      <w:pPr>
        <w:pStyle w:val="Prrafodelista"/>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0500F5">
      <w:pPr>
        <w:pStyle w:val="Prrafodelista"/>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0500F5">
      <w:pPr>
        <w:pStyle w:val="Prrafodelista"/>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0500F5">
      <w:pPr>
        <w:pStyle w:val="Prrafodelista"/>
        <w:numPr>
          <w:ilvl w:val="0"/>
          <w:numId w:val="2"/>
        </w:numPr>
      </w:pPr>
      <w:r w:rsidRPr="00F276B3">
        <w:t>Insert answers into the blank, white cells provided.</w:t>
      </w:r>
    </w:p>
    <w:p w14:paraId="4AB13ACC" w14:textId="37246AC2" w:rsidR="00E63AC5" w:rsidRDefault="00E63AC5" w:rsidP="000500F5">
      <w:pPr>
        <w:pStyle w:val="Prrafodelista"/>
        <w:numPr>
          <w:ilvl w:val="0"/>
          <w:numId w:val="2"/>
        </w:numPr>
      </w:pPr>
      <w:r w:rsidRPr="00E63AC5">
        <w:t>Follow all question instructions as closely as possible (e.g. only selecting one answer if directed).</w:t>
      </w:r>
    </w:p>
    <w:p w14:paraId="5D67E02F" w14:textId="6828D47D" w:rsidR="002F1ABB" w:rsidRDefault="002F1ABB" w:rsidP="000500F5">
      <w:pPr>
        <w:pStyle w:val="Prrafodelista"/>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0500F5">
      <w:pPr>
        <w:pStyle w:val="Prrafodelista"/>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0500F5">
      <w:pPr>
        <w:pStyle w:val="Prrafodelista"/>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02"/>
        <w:gridCol w:w="5173"/>
        <w:gridCol w:w="153"/>
        <w:gridCol w:w="79"/>
        <w:gridCol w:w="404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29932B7" w:rsidR="00093CA9" w:rsidRDefault="006A1482"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F72EC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A28AA56" w14:textId="77777777" w:rsidR="00295DCE" w:rsidRPr="00295DCE" w:rsidRDefault="00295DCE" w:rsidP="00295DCE">
            <w:pPr>
              <w:rPr>
                <w:lang w:val="en-US"/>
              </w:rPr>
            </w:pPr>
            <w:r w:rsidRPr="00295DCE">
              <w:rPr>
                <w:lang w:val="en-US"/>
              </w:rPr>
              <w:t xml:space="preserve">Resolution 0849 of 2022 "By means of which the Guide for the Formulation and Implementation of Territorial Comprehensive Climate Change Management Plans (PIGCCT) is established." </w:t>
            </w:r>
          </w:p>
          <w:p w14:paraId="451B83CD" w14:textId="77777777" w:rsidR="00295DCE" w:rsidRPr="00295DCE" w:rsidRDefault="00295DCE" w:rsidP="00295DCE">
            <w:pPr>
              <w:rPr>
                <w:lang w:val="en-US"/>
              </w:rPr>
            </w:pPr>
          </w:p>
          <w:p w14:paraId="313A697B" w14:textId="4B9C3227" w:rsidR="00093CA9" w:rsidRPr="008B2F8F" w:rsidRDefault="00295DCE" w:rsidP="00295DCE">
            <w:pPr>
              <w:rPr>
                <w:lang w:val="es-ES"/>
              </w:rPr>
            </w:pPr>
            <w:r w:rsidRPr="008B2F8F">
              <w:rPr>
                <w:lang w:val="es-ES"/>
              </w:rPr>
              <w:t>Resolución 0849 de 2022 “Por medio de la cual se establece la Guía para la formulación e implementación de los Planes Integrales de Gestión del Cambio Climático Territoriales (PIGCCT)”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FB41DEB" w:rsidR="00093CA9" w:rsidRDefault="004C191F" w:rsidP="00093CA9">
            <w:hyperlink r:id="rId18" w:history="1">
              <w:r w:rsidRPr="00AD699C">
                <w:rPr>
                  <w:rStyle w:val="Hipervnculo"/>
                </w:rPr>
                <w:t>https://web.archive.org/web/20250711164634/https://www.minambiente.gov.co/documento-normativa/resolucion-0849-de-2022/</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FC9FA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356EF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9100372" w:rsidR="00093CA9" w:rsidRDefault="008B2F8F" w:rsidP="00093CA9">
            <w:r w:rsidRPr="008B2F8F">
              <w:t xml:space="preserve">The policy tool described in 01 Resolucion-0849-de-2022 is a regulatory instrument issued by the Ministry of Environment and Sustainable Development of Colombia. It establishes the Guide for the Formulation and Implementation of the Territorial Comprehensive Climate Change Management Plans (Planes </w:t>
            </w:r>
            <w:proofErr w:type="spellStart"/>
            <w:r w:rsidRPr="008B2F8F">
              <w:t>Integrales</w:t>
            </w:r>
            <w:proofErr w:type="spellEnd"/>
            <w:r w:rsidRPr="008B2F8F">
              <w:t xml:space="preserve"> de </w:t>
            </w:r>
            <w:proofErr w:type="spellStart"/>
            <w:r w:rsidRPr="008B2F8F">
              <w:t>Gestión</w:t>
            </w:r>
            <w:proofErr w:type="spellEnd"/>
            <w:r w:rsidRPr="008B2F8F">
              <w:t xml:space="preserve"> del Cambio </w:t>
            </w:r>
            <w:proofErr w:type="spellStart"/>
            <w:r w:rsidRPr="008B2F8F">
              <w:t>Climático</w:t>
            </w:r>
            <w:proofErr w:type="spellEnd"/>
            <w:r w:rsidRPr="008B2F8F">
              <w:t xml:space="preserve"> </w:t>
            </w:r>
            <w:proofErr w:type="spellStart"/>
            <w:r w:rsidRPr="008B2F8F">
              <w:t>Territoriales</w:t>
            </w:r>
            <w:proofErr w:type="spellEnd"/>
            <w:r w:rsidRPr="008B2F8F">
              <w:t xml:space="preserve"> – </w:t>
            </w:r>
            <w:proofErr w:type="spellStart"/>
            <w:r w:rsidRPr="008B2F8F">
              <w:t>PIGCCT</w:t>
            </w:r>
            <w:proofErr w:type="spellEnd"/>
            <w:r w:rsidRPr="008B2F8F">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AD787D3" w:rsidR="00093CA9" w:rsidRDefault="008B2F8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8F52680" w:rsidR="00093CA9" w:rsidRPr="00173D7C" w:rsidRDefault="008B2F8F"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5776AA0" w:rsidR="00093CA9" w:rsidRPr="00173D7C" w:rsidRDefault="008B2F8F"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7B44E96" w:rsidR="00093CA9" w:rsidRPr="00587FAE" w:rsidRDefault="00F72ECB" w:rsidP="00093CA9">
            <w:pPr>
              <w:rPr>
                <w:color w:val="000000" w:themeColor="text1"/>
              </w:rPr>
            </w:pPr>
            <w:r>
              <w:rPr>
                <w:color w:val="000000" w:themeColor="text1"/>
              </w:rPr>
              <w:t>No</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C399EBF" w:rsidR="00093CA9" w:rsidRPr="007419BF" w:rsidRDefault="00F72ECB" w:rsidP="00093CA9">
            <w:pPr>
              <w:rPr>
                <w:color w:val="000000" w:themeColor="text1"/>
              </w:rPr>
            </w:pPr>
            <w:r>
              <w:rPr>
                <w:color w:val="000000" w:themeColor="text1"/>
              </w:rPr>
              <w:t>No end date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22B54B25" w14:textId="77777777" w:rsidR="008B2F8F" w:rsidRPr="008B2F8F" w:rsidRDefault="008B2F8F" w:rsidP="008B2F8F">
            <w:pPr>
              <w:rPr>
                <w:lang w:val="en-US"/>
              </w:rPr>
            </w:pPr>
            <w:r w:rsidRPr="008B2F8F">
              <w:rPr>
                <w:lang w:val="en-US"/>
              </w:rPr>
              <w:t>The policy tool was authored and issued by a national-level public authority—specifically, the Ministry of Environment and Sustainable Development of Colombia (</w:t>
            </w:r>
            <w:proofErr w:type="spellStart"/>
            <w:r w:rsidRPr="008B2F8F">
              <w:rPr>
                <w:i/>
                <w:iCs/>
                <w:lang w:val="en-US"/>
              </w:rPr>
              <w:t>Ministerio</w:t>
            </w:r>
            <w:proofErr w:type="spellEnd"/>
            <w:r w:rsidRPr="008B2F8F">
              <w:rPr>
                <w:i/>
                <w:iCs/>
                <w:lang w:val="en-US"/>
              </w:rPr>
              <w:t xml:space="preserve"> de </w:t>
            </w:r>
            <w:proofErr w:type="spellStart"/>
            <w:r w:rsidRPr="008B2F8F">
              <w:rPr>
                <w:i/>
                <w:iCs/>
                <w:lang w:val="en-US"/>
              </w:rPr>
              <w:t>Ambiente</w:t>
            </w:r>
            <w:proofErr w:type="spellEnd"/>
            <w:r w:rsidRPr="008B2F8F">
              <w:rPr>
                <w:i/>
                <w:iCs/>
                <w:lang w:val="en-US"/>
              </w:rPr>
              <w:t xml:space="preserve"> y Desarrollo </w:t>
            </w:r>
            <w:proofErr w:type="spellStart"/>
            <w:r w:rsidRPr="008B2F8F">
              <w:rPr>
                <w:i/>
                <w:iCs/>
                <w:lang w:val="en-US"/>
              </w:rPr>
              <w:t>Sostenible</w:t>
            </w:r>
            <w:proofErr w:type="spellEnd"/>
            <w:r w:rsidRPr="008B2F8F">
              <w:rPr>
                <w:lang w:val="en-US"/>
              </w:rPr>
              <w:t>). This entity is a central government ministry responsible for environmental policy, regulation, and oversight in Colombia.</w:t>
            </w:r>
          </w:p>
          <w:p w14:paraId="26054870" w14:textId="77777777" w:rsidR="008B2F8F" w:rsidRPr="008B2F8F" w:rsidRDefault="008B2F8F" w:rsidP="008B2F8F">
            <w:pPr>
              <w:rPr>
                <w:lang w:val="en-US"/>
              </w:rPr>
            </w:pPr>
            <w:r w:rsidRPr="008B2F8F">
              <w:rPr>
                <w:lang w:val="en-US"/>
              </w:rPr>
              <w:t>This type of actor—an executive branch ministry—has the legal authority to issue binding regulations and guidelines for subnational entities, making this a top-down regulatory instrument within Colombia’s environmental governance framework.</w:t>
            </w:r>
          </w:p>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4D87C711" w14:textId="77777777" w:rsidR="00530389" w:rsidRPr="00530389" w:rsidRDefault="00530389" w:rsidP="00530389">
            <w:pPr>
              <w:rPr>
                <w:lang w:val="en-US"/>
              </w:rPr>
            </w:pPr>
            <w:r w:rsidRPr="00530389">
              <w:rPr>
                <w:lang w:val="en-US"/>
              </w:rPr>
              <w:t>Ministry of Environment and Sustainable Development of Colombia</w:t>
            </w:r>
          </w:p>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30E591" w:rsidR="00093CA9" w:rsidRPr="006B7B0D" w:rsidRDefault="0053038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CBAA594" w:rsidR="00093CA9" w:rsidRDefault="0053038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544DE80" w:rsidR="00093CA9" w:rsidRPr="008017F9" w:rsidRDefault="00530389" w:rsidP="00093CA9">
            <w:pPr>
              <w:keepNext/>
              <w:rPr>
                <w:color w:val="000000" w:themeColor="text1"/>
              </w:rPr>
            </w:pPr>
            <w:r w:rsidRPr="00530389">
              <w:rPr>
                <w:color w:val="000000" w:themeColor="text1"/>
              </w:rPr>
              <w:t>The resolution does not specify concrete monitoring systems such as periodic reporting requirements, open data platforms, or public dashboards. While it mentions that the Ministry of Environment and Sustainable Development is responsible for issuing guidance that includes implementation, monitoring, and evaluation components, it does </w:t>
            </w:r>
            <w:r w:rsidRPr="00F72ECB">
              <w:rPr>
                <w:color w:val="000000" w:themeColor="text1"/>
              </w:rPr>
              <w:t>not detail how these monitoring functions are to be operationalized within the resolution itself.</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D63F568"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798A6AD1" w14:textId="6C36CF0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90E2CF3"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1421BEFB" w14:textId="519214DA"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3298DE9"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57A593E9" w14:textId="7E0CF14D"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926D3ED"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67015493" w14:textId="3EB698B3"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573452EC"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0FDFBF9A" w14:textId="04A16544"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4D0FDF60"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05FA4816" w14:textId="43007BFD"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51D68D6" w:rsidR="00C4670C" w:rsidRPr="00C37D48" w:rsidRDefault="0053038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ECAFADC" w:rsidR="00C4670C" w:rsidRPr="00C37D48" w:rsidRDefault="00530389"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4B8C8E9" w:rsidR="00C4670C" w:rsidRPr="00C37D48" w:rsidRDefault="00530389"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63B2DDE" w:rsidR="00C4670C" w:rsidRPr="00C37D48" w:rsidRDefault="00530389"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172A029" w:rsidR="00C4670C" w:rsidRPr="00C37D48" w:rsidRDefault="00530389"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C6BF02A"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8E2D096" w:rsidR="00C4670C" w:rsidRPr="00C37D48" w:rsidRDefault="00530389" w:rsidP="00C37D48">
            <w:pPr>
              <w:rPr>
                <w:rFonts w:ascii="Calibri" w:hAnsi="Calibri" w:cs="Calibri"/>
              </w:rPr>
            </w:pPr>
            <w:r>
              <w:rPr>
                <w:rFonts w:ascii="Calibri" w:hAnsi="Calibri" w:cs="Calibri"/>
              </w:rPr>
              <w:t>X</w:t>
            </w:r>
          </w:p>
        </w:tc>
        <w:tc>
          <w:tcPr>
            <w:tcW w:w="1664" w:type="dxa"/>
            <w:vAlign w:val="center"/>
          </w:tcPr>
          <w:p w14:paraId="109BE34F" w14:textId="3F0A625A"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5521EEBD" w:rsidR="004F276F" w:rsidRPr="00C37D48" w:rsidRDefault="00530389"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1F5ADC50" w:rsidR="004F276F" w:rsidRPr="00C37D48" w:rsidRDefault="00530389"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6542FEF0" w:rsidR="004F276F" w:rsidRPr="00C37D48" w:rsidRDefault="00530389"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61C04EAF" w:rsidR="004F276F" w:rsidRPr="00C37D48" w:rsidRDefault="00530389"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3981019F" w:rsidR="004F276F" w:rsidRPr="00C37D48" w:rsidRDefault="00530389"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0295A23A"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3A08263A"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09B10D03"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687E9A9B"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3B883920"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1558B65F"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23690F38"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69D89104"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12C781FC"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028BDE92"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627F2B4E"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43AE5B48"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46B32A5C"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3D8431C1"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026562CE"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66B34B6F"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0D19F71E"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89D9D76"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4130D8D7"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35D444B3"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4A92562F" w:rsidR="004F276F" w:rsidRPr="00C37D48" w:rsidRDefault="002949DA" w:rsidP="00C37D48">
            <w:pPr>
              <w:rPr>
                <w:rFonts w:ascii="Calibri" w:hAnsi="Calibri" w:cs="Calibri"/>
              </w:rPr>
            </w:pPr>
            <w:r>
              <w:rPr>
                <w:rFonts w:ascii="Calibri" w:hAnsi="Calibri" w:cs="Calibri"/>
              </w:rPr>
              <w:t>X</w:t>
            </w: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EEAFC59" w:rsidR="004F276F" w:rsidRPr="00C37D48" w:rsidRDefault="002949DA" w:rsidP="00C37D48">
            <w:pPr>
              <w:rPr>
                <w:rFonts w:ascii="Calibri" w:hAnsi="Calibri" w:cs="Calibri"/>
              </w:rPr>
            </w:pPr>
            <w:r w:rsidRPr="002949DA">
              <w:rPr>
                <w:rFonts w:ascii="Calibri" w:hAnsi="Calibri" w:cs="Calibri"/>
              </w:rPr>
              <w:t>Not specified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179D7EDF" w:rsidR="004F276F" w:rsidRPr="00C37D48" w:rsidRDefault="002949DA" w:rsidP="00C37D48">
            <w:pPr>
              <w:rPr>
                <w:rFonts w:ascii="Calibri" w:hAnsi="Calibri" w:cs="Calibri"/>
              </w:rPr>
            </w:pPr>
            <w:r w:rsidRPr="002949DA">
              <w:rPr>
                <w:rFonts w:ascii="Calibri" w:hAnsi="Calibri" w:cs="Calibri"/>
              </w:rPr>
              <w:t>Not specified</w:t>
            </w: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A9CBFFD" w:rsidR="004F276F" w:rsidRPr="00C37D48" w:rsidRDefault="002949DA" w:rsidP="00C37D48">
            <w:pPr>
              <w:rPr>
                <w:rFonts w:ascii="Calibri" w:hAnsi="Calibri" w:cs="Calibri"/>
                <w:lang w:val="sv-SE"/>
              </w:rPr>
            </w:pPr>
            <w:r w:rsidRPr="002949DA">
              <w:rPr>
                <w:rFonts w:ascii="Calibri" w:hAnsi="Calibri" w:cs="Calibri"/>
              </w:rPr>
              <w:t>Not specified</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31600D30" w:rsidR="004F276F" w:rsidRPr="00C37D48" w:rsidRDefault="002949DA" w:rsidP="00C37D48">
            <w:pPr>
              <w:rPr>
                <w:rFonts w:ascii="Calibri" w:hAnsi="Calibri" w:cs="Calibri"/>
              </w:rPr>
            </w:pPr>
            <w:r w:rsidRPr="002949DA">
              <w:rPr>
                <w:rFonts w:ascii="Calibri" w:hAnsi="Calibri" w:cs="Calibri"/>
              </w:rPr>
              <w:t>Not specified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7F8732E" w:rsidR="004F276F" w:rsidRPr="00C37D48" w:rsidRDefault="002949DA" w:rsidP="00C37D48">
            <w:pPr>
              <w:rPr>
                <w:rFonts w:ascii="Calibri" w:hAnsi="Calibri" w:cs="Calibri"/>
              </w:rPr>
            </w:pPr>
            <w:r w:rsidRPr="002949DA">
              <w:rPr>
                <w:rFonts w:ascii="Calibri" w:hAnsi="Calibri" w:cs="Calibri"/>
              </w:rPr>
              <w:t>Not specified</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C33A204" w:rsidR="004F276F" w:rsidRPr="00C37D48" w:rsidRDefault="002949DA" w:rsidP="00C37D48">
            <w:pPr>
              <w:rPr>
                <w:rFonts w:ascii="Calibri" w:hAnsi="Calibri" w:cs="Calibri"/>
              </w:rPr>
            </w:pPr>
            <w:r w:rsidRPr="002949DA">
              <w:rPr>
                <w:rFonts w:ascii="Calibri" w:hAnsi="Calibri" w:cs="Calibri"/>
              </w:rPr>
              <w:t xml:space="preserve">A multicriteria analysis is used, incorporating indicators such as: </w:t>
            </w:r>
            <w:r w:rsidRPr="002949DA">
              <w:rPr>
                <w:rFonts w:ascii="Calibri" w:hAnsi="Calibri" w:cs="Calibri"/>
              </w:rPr>
              <w:br/>
              <w:t xml:space="preserve">Alignment with national, departmental, or local policies </w:t>
            </w:r>
            <w:r w:rsidRPr="002949DA">
              <w:rPr>
                <w:rFonts w:ascii="Calibri" w:hAnsi="Calibri" w:cs="Calibri"/>
              </w:rPr>
              <w:br/>
              <w:t xml:space="preserve">Execution costs </w:t>
            </w:r>
            <w:r w:rsidRPr="002949DA">
              <w:rPr>
                <w:rFonts w:ascii="Calibri" w:hAnsi="Calibri" w:cs="Calibri"/>
              </w:rPr>
              <w:br/>
              <w:t xml:space="preserve">Number of beneficiaries </w:t>
            </w:r>
            <w:r w:rsidRPr="002949DA">
              <w:rPr>
                <w:rFonts w:ascii="Calibri" w:hAnsi="Calibri" w:cs="Calibri"/>
              </w:rPr>
              <w:br/>
              <w:t xml:space="preserve"> Area of influence </w:t>
            </w:r>
            <w:r w:rsidRPr="002949DA">
              <w:rPr>
                <w:rFonts w:ascii="Calibri" w:hAnsi="Calibri" w:cs="Calibri"/>
              </w:rPr>
              <w:br/>
              <w:t xml:space="preserve">Private sector involvement </w:t>
            </w:r>
            <w:r w:rsidRPr="002949DA">
              <w:rPr>
                <w:rFonts w:ascii="Calibri" w:hAnsi="Calibri" w:cs="Calibri"/>
              </w:rPr>
              <w:br/>
              <w:t xml:space="preserve">Environmental, social, political, and institutional factors </w:t>
            </w:r>
            <w:r w:rsidRPr="002949DA">
              <w:rPr>
                <w:rFonts w:ascii="Calibri" w:hAnsi="Calibri" w:cs="Calibri"/>
              </w:rPr>
              <w:br/>
              <w:t>Each criterion should have a defined indicator, a scoring method, and a weighting factor to reflect its importance</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929D0D5" w:rsidR="004F276F" w:rsidRPr="00C37D48" w:rsidRDefault="002949DA"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C33B1CE" w:rsidR="004F276F" w:rsidRPr="00C37D48" w:rsidRDefault="00F72EC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3072F74" w:rsidR="001F30DE" w:rsidRPr="00C37D48" w:rsidRDefault="002949DA"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8AD080B" w14:textId="3F83FAAD" w:rsidR="002949DA" w:rsidRPr="00F72ECB" w:rsidRDefault="002949DA" w:rsidP="002949DA">
            <w:pPr>
              <w:rPr>
                <w:rFonts w:ascii="Calibri" w:hAnsi="Calibri" w:cs="Calibri"/>
                <w:lang w:val="en-US"/>
              </w:rPr>
            </w:pPr>
            <w:r w:rsidRPr="00F72ECB">
              <w:rPr>
                <w:rFonts w:ascii="Calibri" w:hAnsi="Calibri" w:cs="Calibri"/>
                <w:lang w:val="en-US"/>
              </w:rPr>
              <w:t xml:space="preserve">Use of </w:t>
            </w:r>
            <w:proofErr w:type="spellStart"/>
            <w:r w:rsidRPr="00F72ECB">
              <w:rPr>
                <w:rFonts w:ascii="Calibri" w:hAnsi="Calibri" w:cs="Calibri"/>
                <w:lang w:val="en-US"/>
              </w:rPr>
              <w:t>RENARE</w:t>
            </w:r>
            <w:proofErr w:type="spellEnd"/>
            <w:r w:rsidRPr="00F72ECB">
              <w:rPr>
                <w:rFonts w:ascii="Calibri" w:hAnsi="Calibri" w:cs="Calibri"/>
                <w:lang w:val="en-US"/>
              </w:rPr>
              <w:t xml:space="preserve">: The </w:t>
            </w:r>
            <w:proofErr w:type="spellStart"/>
            <w:r w:rsidRPr="00F72ECB">
              <w:rPr>
                <w:rFonts w:ascii="Calibri" w:hAnsi="Calibri" w:cs="Calibri"/>
                <w:lang w:val="en-US"/>
              </w:rPr>
              <w:t>Registro</w:t>
            </w:r>
            <w:proofErr w:type="spellEnd"/>
            <w:r w:rsidRPr="00F72ECB">
              <w:rPr>
                <w:rFonts w:ascii="Calibri" w:hAnsi="Calibri" w:cs="Calibri"/>
                <w:lang w:val="en-US"/>
              </w:rPr>
              <w:t xml:space="preserve"> Nacional de </w:t>
            </w:r>
            <w:proofErr w:type="spellStart"/>
            <w:r w:rsidRPr="00F72ECB">
              <w:rPr>
                <w:rFonts w:ascii="Calibri" w:hAnsi="Calibri" w:cs="Calibri"/>
                <w:lang w:val="en-US"/>
              </w:rPr>
              <w:t>Reducción</w:t>
            </w:r>
            <w:proofErr w:type="spellEnd"/>
            <w:r w:rsidRPr="00F72ECB">
              <w:rPr>
                <w:rFonts w:ascii="Calibri" w:hAnsi="Calibri" w:cs="Calibri"/>
                <w:lang w:val="en-US"/>
              </w:rPr>
              <w:t xml:space="preserve"> de </w:t>
            </w:r>
            <w:proofErr w:type="spellStart"/>
            <w:r w:rsidRPr="00F72ECB">
              <w:rPr>
                <w:rFonts w:ascii="Calibri" w:hAnsi="Calibri" w:cs="Calibri"/>
                <w:lang w:val="en-US"/>
              </w:rPr>
              <w:t>Emisiones</w:t>
            </w:r>
            <w:proofErr w:type="spellEnd"/>
            <w:r w:rsidRPr="00F72ECB">
              <w:rPr>
                <w:rFonts w:ascii="Calibri" w:hAnsi="Calibri" w:cs="Calibri"/>
                <w:lang w:val="en-US"/>
              </w:rPr>
              <w:t xml:space="preserve"> de Gases de </w:t>
            </w:r>
            <w:proofErr w:type="spellStart"/>
            <w:r w:rsidRPr="00F72ECB">
              <w:rPr>
                <w:rFonts w:ascii="Calibri" w:hAnsi="Calibri" w:cs="Calibri"/>
                <w:lang w:val="en-US"/>
              </w:rPr>
              <w:t>Efecto</w:t>
            </w:r>
            <w:proofErr w:type="spellEnd"/>
            <w:r w:rsidRPr="00F72ECB">
              <w:rPr>
                <w:rFonts w:ascii="Calibri" w:hAnsi="Calibri" w:cs="Calibri"/>
                <w:lang w:val="en-US"/>
              </w:rPr>
              <w:t xml:space="preserve"> </w:t>
            </w:r>
            <w:proofErr w:type="spellStart"/>
            <w:r w:rsidRPr="00F72ECB">
              <w:rPr>
                <w:rFonts w:ascii="Calibri" w:hAnsi="Calibri" w:cs="Calibri"/>
                <w:lang w:val="en-US"/>
              </w:rPr>
              <w:t>Invernadero</w:t>
            </w:r>
            <w:proofErr w:type="spellEnd"/>
            <w:r w:rsidRPr="00F72ECB">
              <w:rPr>
                <w:rFonts w:ascii="Calibri" w:hAnsi="Calibri" w:cs="Calibri"/>
                <w:lang w:val="en-US"/>
              </w:rPr>
              <w:t xml:space="preserve"> (</w:t>
            </w:r>
            <w:proofErr w:type="spellStart"/>
            <w:r w:rsidRPr="00F72ECB">
              <w:rPr>
                <w:rFonts w:ascii="Calibri" w:hAnsi="Calibri" w:cs="Calibri"/>
                <w:lang w:val="en-US"/>
              </w:rPr>
              <w:t>RENARE</w:t>
            </w:r>
            <w:proofErr w:type="spellEnd"/>
            <w:r w:rsidRPr="00F72ECB">
              <w:rPr>
                <w:rFonts w:ascii="Calibri" w:hAnsi="Calibri" w:cs="Calibri"/>
                <w:lang w:val="en-US"/>
              </w:rPr>
              <w:t>) is a national platform created by law and regulated by the Ministry of Environment to register mitigation initiatives across Colombia. Territorial entities are encouraged to register their measures here to contribute to national climate accounting </w:t>
            </w:r>
          </w:p>
          <w:p w14:paraId="511A78B1" w14:textId="77777777" w:rsidR="002949DA" w:rsidRPr="00F72ECB" w:rsidRDefault="002949DA" w:rsidP="002949DA">
            <w:pPr>
              <w:rPr>
                <w:rFonts w:ascii="Calibri" w:hAnsi="Calibri" w:cs="Calibri"/>
                <w:lang w:val="en-US"/>
              </w:rPr>
            </w:pPr>
            <w:r w:rsidRPr="00F72ECB">
              <w:rPr>
                <w:rFonts w:ascii="Calibri" w:hAnsi="Calibri" w:cs="Calibri"/>
                <w:lang w:val="en-US"/>
              </w:rPr>
              <w:t>Integration with National Instruments: The complementary guide emphasizes alignment with national frameworks such as the PNCC, NDC, and E2050. It also outlines how local plans should reflect strategic lines and implementation pathways, including monitoring and evaluation mechanisms </w:t>
            </w:r>
          </w:p>
          <w:p w14:paraId="1044F08E" w14:textId="182A0B3E" w:rsidR="002949DA" w:rsidRPr="00F72ECB" w:rsidRDefault="002949DA" w:rsidP="002949DA">
            <w:pPr>
              <w:rPr>
                <w:rFonts w:ascii="Calibri" w:hAnsi="Calibri" w:cs="Calibri"/>
                <w:lang w:val="en-US"/>
              </w:rPr>
            </w:pPr>
            <w:r w:rsidRPr="00F72ECB">
              <w:rPr>
                <w:rFonts w:ascii="Calibri" w:hAnsi="Calibri" w:cs="Calibri"/>
                <w:lang w:val="en-US"/>
              </w:rPr>
              <w:t xml:space="preserve">Funding and Capacity Building: The guides mention the allocation of resources for education, training, and technological innovation, as well as the development of tools like the </w:t>
            </w:r>
            <w:proofErr w:type="spellStart"/>
            <w:r w:rsidRPr="00F72ECB">
              <w:rPr>
                <w:rFonts w:ascii="Calibri" w:hAnsi="Calibri" w:cs="Calibri"/>
                <w:lang w:val="en-US"/>
              </w:rPr>
              <w:t>Herramienta</w:t>
            </w:r>
            <w:proofErr w:type="spellEnd"/>
            <w:r w:rsidRPr="00F72ECB">
              <w:rPr>
                <w:rFonts w:ascii="Calibri" w:hAnsi="Calibri" w:cs="Calibri"/>
                <w:lang w:val="en-US"/>
              </w:rPr>
              <w:t xml:space="preserve"> de </w:t>
            </w:r>
            <w:proofErr w:type="spellStart"/>
            <w:r w:rsidRPr="00F72ECB">
              <w:rPr>
                <w:rFonts w:ascii="Calibri" w:hAnsi="Calibri" w:cs="Calibri"/>
                <w:lang w:val="en-US"/>
              </w:rPr>
              <w:t>Acción</w:t>
            </w:r>
            <w:proofErr w:type="spellEnd"/>
            <w:r w:rsidRPr="00F72ECB">
              <w:rPr>
                <w:rFonts w:ascii="Calibri" w:hAnsi="Calibri" w:cs="Calibri"/>
                <w:lang w:val="en-US"/>
              </w:rPr>
              <w:t xml:space="preserve"> </w:t>
            </w:r>
            <w:proofErr w:type="spellStart"/>
            <w:r w:rsidRPr="00F72ECB">
              <w:rPr>
                <w:rFonts w:ascii="Calibri" w:hAnsi="Calibri" w:cs="Calibri"/>
                <w:lang w:val="en-US"/>
              </w:rPr>
              <w:t>Climática</w:t>
            </w:r>
            <w:proofErr w:type="spellEnd"/>
            <w:r w:rsidRPr="00F72ECB">
              <w:rPr>
                <w:rFonts w:ascii="Calibri" w:hAnsi="Calibri" w:cs="Calibri"/>
                <w:lang w:val="en-US"/>
              </w:rPr>
              <w:t>, which showcases implemented measures in Colombia</w:t>
            </w:r>
          </w:p>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182D96A" w:rsidR="001F30DE" w:rsidRPr="00C37D48" w:rsidRDefault="002949DA"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EF9BB84" w14:textId="05624D60" w:rsidR="002949DA" w:rsidRPr="00F72ECB" w:rsidRDefault="002949DA" w:rsidP="002949DA">
            <w:pPr>
              <w:rPr>
                <w:rFonts w:ascii="Calibri" w:hAnsi="Calibri" w:cs="Calibri"/>
                <w:lang w:val="en-US"/>
              </w:rPr>
            </w:pPr>
            <w:r w:rsidRPr="002949DA">
              <w:rPr>
                <w:rFonts w:ascii="Calibri" w:hAnsi="Calibri" w:cs="Calibri"/>
                <w:lang w:val="en-US"/>
              </w:rPr>
              <w:t xml:space="preserve">The resolution no provide any concrete examples or case studies of enforcement actions taken against territorial entities or other actors for non-compliance with PIGCCT obligations. </w:t>
            </w:r>
            <w:r w:rsidRPr="00F72ECB">
              <w:rPr>
                <w:rFonts w:ascii="Calibri" w:hAnsi="Calibri" w:cs="Calibri"/>
                <w:lang w:val="en-US"/>
              </w:rPr>
              <w:t>Instead, they emphasize:</w:t>
            </w:r>
          </w:p>
          <w:p w14:paraId="6D9B766A" w14:textId="77777777" w:rsidR="002949DA" w:rsidRPr="002949DA" w:rsidRDefault="002949DA" w:rsidP="002949DA">
            <w:pPr>
              <w:rPr>
                <w:rFonts w:ascii="Calibri" w:hAnsi="Calibri" w:cs="Calibri"/>
                <w:lang w:val="en-US"/>
              </w:rPr>
            </w:pPr>
            <w:r w:rsidRPr="002949DA">
              <w:rPr>
                <w:rFonts w:ascii="Calibri" w:hAnsi="Calibri" w:cs="Calibri"/>
                <w:lang w:val="en-US"/>
              </w:rPr>
              <w:t>Monitoring and Evaluation: Territorial entities and environmental authorities are responsible for tracking implementation and applying corrective measures </w:t>
            </w:r>
          </w:p>
          <w:p w14:paraId="55BE1FEF" w14:textId="1C3206BE" w:rsidR="002949DA" w:rsidRPr="002949DA" w:rsidRDefault="002949DA" w:rsidP="002949DA">
            <w:pPr>
              <w:rPr>
                <w:rFonts w:ascii="Calibri" w:hAnsi="Calibri" w:cs="Calibri"/>
                <w:lang w:val="en-US"/>
              </w:rPr>
            </w:pPr>
            <w:r w:rsidRPr="002949DA">
              <w:rPr>
                <w:rFonts w:ascii="Calibri" w:hAnsi="Calibri" w:cs="Calibri"/>
                <w:lang w:val="en-US"/>
              </w:rPr>
              <w:t>Use of indicators and reporting tools: These are designed to assess progress and guide adjustments, not to trigger sanctions</w:t>
            </w:r>
          </w:p>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2BAA582" w:rsidR="001F30DE" w:rsidRPr="00C37D48" w:rsidRDefault="002949D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0FC14E97" w:rsidR="001F30DE" w:rsidRPr="00C37D48" w:rsidRDefault="002949DA" w:rsidP="00C37D48">
            <w:pPr>
              <w:rPr>
                <w:rFonts w:ascii="Calibri" w:hAnsi="Calibri" w:cs="Calibri"/>
              </w:rPr>
            </w:pPr>
            <w:r>
              <w:rPr>
                <w:rFonts w:ascii="Calibri" w:hAnsi="Calibri" w:cs="Calibri"/>
              </w:rPr>
              <w:t>T</w:t>
            </w:r>
            <w:r w:rsidRPr="002949DA">
              <w:rPr>
                <w:rFonts w:ascii="Calibri" w:hAnsi="Calibri" w:cs="Calibri"/>
              </w:rPr>
              <w:t xml:space="preserve">here is no evidence that the </w:t>
            </w:r>
            <w:proofErr w:type="spellStart"/>
            <w:r w:rsidRPr="002949DA">
              <w:rPr>
                <w:rFonts w:ascii="Calibri" w:hAnsi="Calibri" w:cs="Calibri"/>
              </w:rPr>
              <w:t>PIGCCT</w:t>
            </w:r>
            <w:proofErr w:type="spellEnd"/>
            <w:r w:rsidRPr="002949DA">
              <w:rPr>
                <w:rFonts w:ascii="Calibri" w:hAnsi="Calibri" w:cs="Calibri"/>
              </w:rPr>
              <w:t xml:space="preserve"> (Planes </w:t>
            </w:r>
            <w:proofErr w:type="spellStart"/>
            <w:r w:rsidRPr="002949DA">
              <w:rPr>
                <w:rFonts w:ascii="Calibri" w:hAnsi="Calibri" w:cs="Calibri"/>
              </w:rPr>
              <w:t>Integrales</w:t>
            </w:r>
            <w:proofErr w:type="spellEnd"/>
            <w:r w:rsidRPr="002949DA">
              <w:rPr>
                <w:rFonts w:ascii="Calibri" w:hAnsi="Calibri" w:cs="Calibri"/>
              </w:rPr>
              <w:t xml:space="preserve"> de </w:t>
            </w:r>
            <w:proofErr w:type="spellStart"/>
            <w:r w:rsidRPr="002949DA">
              <w:rPr>
                <w:rFonts w:ascii="Calibri" w:hAnsi="Calibri" w:cs="Calibri"/>
              </w:rPr>
              <w:t>Gestión</w:t>
            </w:r>
            <w:proofErr w:type="spellEnd"/>
            <w:r w:rsidRPr="002949DA">
              <w:rPr>
                <w:rFonts w:ascii="Calibri" w:hAnsi="Calibri" w:cs="Calibri"/>
              </w:rPr>
              <w:t xml:space="preserve"> del Cambio </w:t>
            </w:r>
            <w:proofErr w:type="spellStart"/>
            <w:r w:rsidRPr="002949DA">
              <w:rPr>
                <w:rFonts w:ascii="Calibri" w:hAnsi="Calibri" w:cs="Calibri"/>
              </w:rPr>
              <w:t>Climático</w:t>
            </w:r>
            <w:proofErr w:type="spellEnd"/>
            <w:r w:rsidRPr="002949DA">
              <w:rPr>
                <w:rFonts w:ascii="Calibri" w:hAnsi="Calibri" w:cs="Calibri"/>
              </w:rPr>
              <w:t xml:space="preserve"> Territorial) has been involved in litigation</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786C1E3" w:rsidR="004F48E8" w:rsidRPr="00C37D48" w:rsidRDefault="002949DA"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lastRenderedPageBreak/>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5BF27A3A" w:rsidR="000A1365" w:rsidRPr="00C37D48" w:rsidRDefault="002949DA"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98DBCAE" w14:textId="77777777" w:rsidR="00D27551" w:rsidRPr="00373778" w:rsidRDefault="00373778" w:rsidP="00C37D48">
            <w:pPr>
              <w:rPr>
                <w:rFonts w:ascii="Calibri" w:hAnsi="Calibri" w:cs="Calibri"/>
              </w:rPr>
            </w:pPr>
            <w:r w:rsidRPr="00373778">
              <w:rPr>
                <w:rFonts w:ascii="Calibri" w:hAnsi="Calibri" w:cs="Calibri"/>
              </w:rPr>
              <w:t>The guides emphasize that territorial entities should align their climate planning with Colombia’s Nationally Determined Contributions (NDC) and the E2050 Long-Term Climate Strategy, which include specific mitigation and adaptation targets.</w:t>
            </w:r>
          </w:p>
          <w:p w14:paraId="6E9BA429" w14:textId="77777777" w:rsidR="00373778" w:rsidRPr="00373778" w:rsidRDefault="00373778" w:rsidP="00373778">
            <w:pPr>
              <w:rPr>
                <w:rFonts w:ascii="Calibri" w:hAnsi="Calibri" w:cs="Calibri"/>
                <w:lang w:val="en-US"/>
              </w:rPr>
            </w:pPr>
            <w:r w:rsidRPr="00373778">
              <w:rPr>
                <w:rFonts w:ascii="Calibri" w:hAnsi="Calibri" w:cs="Calibri"/>
                <w:lang w:val="en-US"/>
              </w:rPr>
              <w:t>While the guides do not impose a legal obligation to set targets, they strongly recommend that territorial plans define:</w:t>
            </w:r>
          </w:p>
          <w:p w14:paraId="63F5B38D" w14:textId="77777777" w:rsidR="00373778" w:rsidRPr="00373778" w:rsidRDefault="00373778" w:rsidP="00373778">
            <w:pPr>
              <w:rPr>
                <w:rFonts w:ascii="Calibri" w:hAnsi="Calibri" w:cs="Calibri"/>
                <w:lang w:val="en-US"/>
              </w:rPr>
            </w:pPr>
            <w:r w:rsidRPr="00373778">
              <w:rPr>
                <w:rFonts w:ascii="Calibri" w:hAnsi="Calibri" w:cs="Calibri"/>
                <w:lang w:val="en-US"/>
              </w:rPr>
              <w:t>Long-term objectives aligned with national goals (e.g., 51% GHG reduction by 2030)</w:t>
            </w:r>
          </w:p>
          <w:p w14:paraId="63F60F66" w14:textId="77777777" w:rsidR="00373778" w:rsidRPr="00373778" w:rsidRDefault="00373778" w:rsidP="00373778">
            <w:pPr>
              <w:rPr>
                <w:rFonts w:ascii="Calibri" w:hAnsi="Calibri" w:cs="Calibri"/>
                <w:lang w:val="en-US"/>
              </w:rPr>
            </w:pPr>
            <w:r w:rsidRPr="00373778">
              <w:rPr>
                <w:rFonts w:ascii="Calibri" w:hAnsi="Calibri" w:cs="Calibri"/>
                <w:lang w:val="en-US"/>
              </w:rPr>
              <w:t>Indicators and milestones for monitoring progress</w:t>
            </w:r>
          </w:p>
          <w:p w14:paraId="71B99A76" w14:textId="77777777" w:rsidR="00373778" w:rsidRPr="00373778" w:rsidRDefault="00373778" w:rsidP="00373778">
            <w:pPr>
              <w:rPr>
                <w:rFonts w:ascii="Calibri" w:hAnsi="Calibri" w:cs="Calibri"/>
                <w:lang w:val="en-US"/>
              </w:rPr>
            </w:pPr>
            <w:r w:rsidRPr="00373778">
              <w:rPr>
                <w:rFonts w:ascii="Calibri" w:hAnsi="Calibri" w:cs="Calibri"/>
                <w:lang w:val="en-US"/>
              </w:rPr>
              <w:t>Strategic lines and prioritized measures for mitigation, adaptation, and risk management </w:t>
            </w:r>
          </w:p>
          <w:p w14:paraId="39D78A15" w14:textId="77777777" w:rsidR="00373778" w:rsidRPr="00373778" w:rsidRDefault="00373778" w:rsidP="00373778">
            <w:pPr>
              <w:rPr>
                <w:rFonts w:ascii="Calibri" w:hAnsi="Calibri" w:cs="Calibri"/>
                <w:lang w:val="en-US"/>
              </w:rPr>
            </w:pPr>
            <w:r w:rsidRPr="00373778">
              <w:rPr>
                <w:rFonts w:ascii="Calibri" w:hAnsi="Calibri" w:cs="Calibri"/>
                <w:lang w:val="en-US"/>
              </w:rPr>
              <w:t>The complementary guide further recommends using tools like the </w:t>
            </w:r>
            <w:proofErr w:type="spellStart"/>
            <w:r w:rsidRPr="00373778">
              <w:rPr>
                <w:rFonts w:ascii="Calibri" w:hAnsi="Calibri" w:cs="Calibri"/>
                <w:lang w:val="en-US"/>
              </w:rPr>
              <w:t>Calculadora</w:t>
            </w:r>
            <w:proofErr w:type="spellEnd"/>
            <w:r w:rsidRPr="00373778">
              <w:rPr>
                <w:rFonts w:ascii="Calibri" w:hAnsi="Calibri" w:cs="Calibri"/>
                <w:lang w:val="en-US"/>
              </w:rPr>
              <w:t xml:space="preserve"> 2050 to identify the most strategic mitigation measures and ensure alignment with national decarbonization pathways </w:t>
            </w:r>
          </w:p>
          <w:p w14:paraId="5E31BCF6" w14:textId="6DAFF788" w:rsidR="00373778" w:rsidRPr="00C37D48" w:rsidRDefault="00373778"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0A54B6D1"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EF619A9" w:rsidR="00850F36" w:rsidRPr="00C37D48" w:rsidRDefault="00373778"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24348E6"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1A509DF6"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2A3B28B1"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A94CF6A" w:rsidR="00850F36" w:rsidRPr="00C37D48" w:rsidRDefault="00373778"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9E5E96D"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0438E539"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15BE8178"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8799031" w:rsidR="00850F36" w:rsidRPr="00C37D48" w:rsidRDefault="0037377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A9D7918"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63B90FF"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3636431B" w:rsidR="00850F36" w:rsidRPr="00C37D48" w:rsidRDefault="00373778"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19D4A0F" w14:textId="23FD80DF" w:rsidR="00373778" w:rsidRPr="00373778" w:rsidRDefault="00373778" w:rsidP="00373778">
            <w:pPr>
              <w:rPr>
                <w:rFonts w:ascii="Calibri" w:hAnsi="Calibri" w:cs="Calibri"/>
                <w:lang w:val="en-US"/>
              </w:rPr>
            </w:pPr>
            <w:r w:rsidRPr="00373778">
              <w:rPr>
                <w:rFonts w:ascii="Calibri" w:hAnsi="Calibri" w:cs="Calibri"/>
                <w:lang w:val="en-US"/>
              </w:rPr>
              <w:t>Absolute Emissions Reductions &amp; Net Zero: The guides recommend setting measurable targets for GHG reductions in CO₂-equivalent terms, aligned with Colombia’s NDC and the E2050 long-term strategy. These include short-, medium-, and long-term goals, with 2049 as the long-term horizon </w:t>
            </w:r>
          </w:p>
          <w:p w14:paraId="5A2EDFA3" w14:textId="77777777" w:rsidR="00373778" w:rsidRPr="00373778" w:rsidRDefault="00373778" w:rsidP="00373778">
            <w:pPr>
              <w:rPr>
                <w:rFonts w:ascii="Calibri" w:hAnsi="Calibri" w:cs="Calibri"/>
                <w:lang w:val="en-US"/>
              </w:rPr>
            </w:pPr>
            <w:r w:rsidRPr="00373778">
              <w:rPr>
                <w:rFonts w:ascii="Calibri" w:hAnsi="Calibri" w:cs="Calibri"/>
                <w:lang w:val="en-US"/>
              </w:rPr>
              <w:t>Sectoral Decarbonization &amp; Renewable Energy: The complementary guide encourages using sector-specific pathways and tools like the “</w:t>
            </w:r>
            <w:proofErr w:type="spellStart"/>
            <w:r w:rsidRPr="00373778">
              <w:rPr>
                <w:rFonts w:ascii="Calibri" w:hAnsi="Calibri" w:cs="Calibri"/>
                <w:lang w:val="en-US"/>
              </w:rPr>
              <w:t>Calculadora</w:t>
            </w:r>
            <w:proofErr w:type="spellEnd"/>
            <w:r w:rsidRPr="00373778">
              <w:rPr>
                <w:rFonts w:ascii="Calibri" w:hAnsi="Calibri" w:cs="Calibri"/>
                <w:lang w:val="en-US"/>
              </w:rPr>
              <w:t xml:space="preserve"> 2050” to define strategic mitigation measures, including energy transition and fossil fuel reduction </w:t>
            </w:r>
          </w:p>
          <w:p w14:paraId="2268593A" w14:textId="2F8D082D" w:rsidR="00373778" w:rsidRPr="00F72ECB" w:rsidRDefault="00373778" w:rsidP="00373778">
            <w:pPr>
              <w:rPr>
                <w:rFonts w:ascii="Calibri" w:hAnsi="Calibri" w:cs="Calibri"/>
                <w:lang w:val="en-US"/>
              </w:rPr>
            </w:pPr>
            <w:r w:rsidRPr="00373778">
              <w:rPr>
                <w:rFonts w:ascii="Calibri" w:hAnsi="Calibri" w:cs="Calibri"/>
                <w:lang w:val="en-US"/>
              </w:rPr>
              <w:t>Adaptation, Biodiversity, and Just Transition: Both documents emphasize the importance of setting goals for climate adaptation, ecosystem resilience, and social equity. Nature-based solutions (</w:t>
            </w:r>
            <w:proofErr w:type="spellStart"/>
            <w:r w:rsidRPr="00373778">
              <w:rPr>
                <w:rFonts w:ascii="Calibri" w:hAnsi="Calibri" w:cs="Calibri"/>
                <w:lang w:val="en-US"/>
              </w:rPr>
              <w:t>SbN</w:t>
            </w:r>
            <w:proofErr w:type="spellEnd"/>
            <w:r w:rsidRPr="00373778">
              <w:rPr>
                <w:rFonts w:ascii="Calibri" w:hAnsi="Calibri" w:cs="Calibri"/>
                <w:lang w:val="en-US"/>
              </w:rPr>
              <w:t>) are highlighted as a priority for early implementation </w:t>
            </w:r>
          </w:p>
          <w:p w14:paraId="18DC76B6" w14:textId="7AC46631" w:rsidR="00373778" w:rsidRDefault="00373778" w:rsidP="00373778">
            <w:pPr>
              <w:rPr>
                <w:rFonts w:ascii="Calibri" w:hAnsi="Calibri" w:cs="Calibri"/>
                <w:lang w:val="en-US"/>
              </w:rPr>
            </w:pPr>
            <w:r w:rsidRPr="00373778">
              <w:rPr>
                <w:rFonts w:ascii="Calibri" w:hAnsi="Calibri" w:cs="Calibri"/>
                <w:lang w:val="en-US"/>
              </w:rPr>
              <w:t>Other Targets: Entities are encouraged to define context-specific goals based on local vulnerabilities, emissions sources, and development priorities. These should be co-developed with stakeholders and supported by baseline data and indicators</w:t>
            </w:r>
          </w:p>
          <w:p w14:paraId="3DD225FB" w14:textId="266F49E7" w:rsidR="00373778" w:rsidRPr="00373778" w:rsidRDefault="00373778" w:rsidP="00373778">
            <w:pPr>
              <w:rPr>
                <w:rFonts w:ascii="Calibri" w:hAnsi="Calibri" w:cs="Calibri"/>
                <w:lang w:val="en-US"/>
              </w:rPr>
            </w:pPr>
            <w:r w:rsidRPr="00373778">
              <w:rPr>
                <w:rFonts w:ascii="Calibri" w:hAnsi="Calibri" w:cs="Calibri"/>
              </w:rPr>
              <w:t>The information presented is taken from the Guide for the Formulation of PIGCCT, which is the document used as supporting material for the resolution.</w:t>
            </w:r>
          </w:p>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5FC8D4AB" w:rsidR="000A1365" w:rsidRPr="00C37D48" w:rsidRDefault="00373778"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7B9C48D5" w:rsidR="00C81DE5" w:rsidRPr="00C37D48" w:rsidRDefault="00373778"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F9A6042" w:rsidR="000A1365" w:rsidRPr="00C37D48" w:rsidRDefault="00C46E11"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4B1B0DCC" w:rsidR="000A1365" w:rsidRPr="00C37D48" w:rsidRDefault="00C46E11"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09251052" w:rsidR="000A1365" w:rsidRPr="00C37D48" w:rsidRDefault="00C46E11"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128D6E9C" w:rsidR="000A1365" w:rsidRPr="00C37D48" w:rsidRDefault="00C46E11"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097D7C4" w:rsidR="000A1365" w:rsidRPr="00C37D48" w:rsidRDefault="00C46E11"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6BF6BCC0" w:rsidR="000A1365" w:rsidRPr="00C37D48" w:rsidRDefault="00C46E11"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18017AF3" w:rsidR="000A1365" w:rsidRPr="00C37D48" w:rsidRDefault="00C46E11"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2399B04" w:rsidR="000A1365" w:rsidRPr="00C37D48" w:rsidRDefault="00C46E11"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078620A8" w:rsidR="000A1365" w:rsidRPr="00C37D48" w:rsidRDefault="00C46E11"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12B8FE9" w:rsidR="000A1365" w:rsidRPr="00C37D48" w:rsidRDefault="00C46E11"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5CDE8E9E" w:rsidR="003A2E5E" w:rsidRPr="00C37D48" w:rsidRDefault="00C46E11"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43F8B560" w:rsidR="000A1365" w:rsidRPr="00C37D48" w:rsidRDefault="00C46E11"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2849D137" w14:textId="5123577B" w:rsidR="00C46E11" w:rsidRPr="00C46E11" w:rsidRDefault="00C46E11" w:rsidP="00C46E11">
            <w:pPr>
              <w:rPr>
                <w:rFonts w:ascii="Calibri" w:hAnsi="Calibri" w:cs="Calibri"/>
                <w:lang w:val="en-US"/>
              </w:rPr>
            </w:pPr>
            <w:r w:rsidRPr="00C46E11">
              <w:rPr>
                <w:rFonts w:ascii="Calibri" w:hAnsi="Calibri" w:cs="Calibri"/>
                <w:lang w:val="en-US"/>
              </w:rPr>
              <w:t>The  Resolu</w:t>
            </w:r>
            <w:r w:rsidR="00F72ECB">
              <w:rPr>
                <w:rFonts w:ascii="Calibri" w:hAnsi="Calibri" w:cs="Calibri"/>
                <w:lang w:val="en-US"/>
              </w:rPr>
              <w:t>t</w:t>
            </w:r>
            <w:r w:rsidRPr="00C46E11">
              <w:rPr>
                <w:rFonts w:ascii="Calibri" w:hAnsi="Calibri" w:cs="Calibri"/>
                <w:lang w:val="en-US"/>
              </w:rPr>
              <w:t>ion</w:t>
            </w:r>
            <w:r>
              <w:rPr>
                <w:rFonts w:ascii="Calibri" w:hAnsi="Calibri" w:cs="Calibri"/>
                <w:lang w:val="en-US"/>
              </w:rPr>
              <w:t xml:space="preserve"> </w:t>
            </w:r>
            <w:r w:rsidRPr="00C46E11">
              <w:rPr>
                <w:rFonts w:ascii="Calibri" w:hAnsi="Calibri" w:cs="Calibri"/>
                <w:lang w:val="en-US"/>
              </w:rPr>
              <w:t>0849</w:t>
            </w:r>
            <w:r>
              <w:rPr>
                <w:rFonts w:ascii="Calibri" w:hAnsi="Calibri" w:cs="Calibri"/>
                <w:lang w:val="en-US"/>
              </w:rPr>
              <w:t xml:space="preserve"> </w:t>
            </w:r>
            <w:r w:rsidRPr="00C46E11">
              <w:rPr>
                <w:rFonts w:ascii="Calibri" w:hAnsi="Calibri" w:cs="Calibri"/>
                <w:lang w:val="en-US"/>
              </w:rPr>
              <w:t>de</w:t>
            </w:r>
            <w:r>
              <w:rPr>
                <w:rFonts w:ascii="Calibri" w:hAnsi="Calibri" w:cs="Calibri"/>
                <w:lang w:val="en-US"/>
              </w:rPr>
              <w:t xml:space="preserve"> </w:t>
            </w:r>
            <w:r w:rsidRPr="00C46E11">
              <w:rPr>
                <w:rFonts w:ascii="Calibri" w:hAnsi="Calibri" w:cs="Calibri"/>
                <w:lang w:val="en-US"/>
              </w:rPr>
              <w:t>2022  explicitly states that territorial entities (departments, regional environmental authorities, and national parks) are required to formulate and implement Plans for Integrated Climate Change Management (PIGCCT), which must include mitigation actions for GHG emissions </w:t>
            </w:r>
          </w:p>
          <w:p w14:paraId="32EBE739" w14:textId="692C03B1" w:rsidR="00C46E11" w:rsidRPr="00C46E11" w:rsidRDefault="00C46E11" w:rsidP="00C46E11">
            <w:pPr>
              <w:rPr>
                <w:rFonts w:ascii="Calibri" w:hAnsi="Calibri" w:cs="Calibri"/>
                <w:lang w:val="en-US"/>
              </w:rPr>
            </w:pPr>
            <w:r w:rsidRPr="00373778">
              <w:rPr>
                <w:rFonts w:ascii="Calibri" w:hAnsi="Calibri" w:cs="Calibri"/>
              </w:rPr>
              <w:t>the Guide for the Formulation of PIGCCT</w:t>
            </w:r>
            <w:r w:rsidRPr="00C46E11">
              <w:rPr>
                <w:rFonts w:ascii="Calibri" w:hAnsi="Calibri" w:cs="Calibri"/>
                <w:lang w:val="en-US"/>
              </w:rPr>
              <w:t xml:space="preserve">  reinforce this by aligning these plans with Colombia’s Nationally Determined Contributions (NDCs), which include a legally binding target to reduce GHG emissions by 51% by 2030 and reach net-zero by 2050</w:t>
            </w:r>
          </w:p>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2180C2DC" w:rsidR="000A1365" w:rsidRPr="00C37D48" w:rsidRDefault="00C46E11" w:rsidP="00C37D48">
            <w:pPr>
              <w:rPr>
                <w:rFonts w:ascii="Calibri" w:hAnsi="Calibri" w:cs="Calibri"/>
              </w:rPr>
            </w:pPr>
            <w:r>
              <w:rPr>
                <w:rFonts w:ascii="Calibri" w:hAnsi="Calibri" w:cs="Calibri"/>
              </w:rPr>
              <w:t>X</w:t>
            </w: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E1E3FCC" w:rsidR="000A1365" w:rsidRPr="00C37D48" w:rsidRDefault="00C46E11" w:rsidP="00C37D48">
            <w:pPr>
              <w:rPr>
                <w:rFonts w:ascii="Calibri" w:hAnsi="Calibri" w:cs="Calibri"/>
              </w:rPr>
            </w:pPr>
            <w:r>
              <w:rPr>
                <w:rFonts w:ascii="Calibri" w:hAnsi="Calibri" w:cs="Calibri"/>
              </w:rPr>
              <w:t>X</w:t>
            </w: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50A6E490" w:rsidR="00D9431B" w:rsidRPr="00C37D48" w:rsidRDefault="00C46E11" w:rsidP="00C37D48">
            <w:pPr>
              <w:rPr>
                <w:rFonts w:ascii="Calibri" w:hAnsi="Calibri" w:cs="Calibri"/>
              </w:rPr>
            </w:pPr>
            <w:r>
              <w:rPr>
                <w:rFonts w:ascii="Calibri" w:hAnsi="Calibri" w:cs="Calibri"/>
              </w:rP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4262E74E" w14:textId="6B2F4138" w:rsidR="00C46E11" w:rsidRPr="00C46E11" w:rsidRDefault="00C46E11" w:rsidP="00C46E11">
            <w:pPr>
              <w:rPr>
                <w:rFonts w:ascii="Calibri" w:hAnsi="Calibri" w:cs="Calibri"/>
                <w:lang w:val="en-US"/>
              </w:rPr>
            </w:pPr>
            <w:r w:rsidRPr="00C46E11">
              <w:rPr>
                <w:rFonts w:ascii="Calibri" w:hAnsi="Calibri" w:cs="Calibri"/>
              </w:rPr>
              <w:t>R</w:t>
            </w:r>
            <w:proofErr w:type="spellStart"/>
            <w:r w:rsidRPr="00C46E11">
              <w:rPr>
                <w:rFonts w:ascii="Calibri" w:hAnsi="Calibri" w:cs="Calibri"/>
                <w:lang w:val="en-US"/>
              </w:rPr>
              <w:t>eferences</w:t>
            </w:r>
            <w:proofErr w:type="spellEnd"/>
            <w:r w:rsidRPr="00C46E11">
              <w:rPr>
                <w:rFonts w:ascii="Calibri" w:hAnsi="Calibri" w:cs="Calibri"/>
                <w:lang w:val="en-US"/>
              </w:rPr>
              <w:t xml:space="preserve"> several resolutions issued by the Ministry of Environment that establish formal procedures and requirements for the certification and accreditation of environmental investments and emission reduction projects. These include:</w:t>
            </w:r>
          </w:p>
          <w:p w14:paraId="67506836" w14:textId="77777777" w:rsidR="00C46E11" w:rsidRPr="00C46E11" w:rsidRDefault="00C46E11" w:rsidP="00C46E11">
            <w:pPr>
              <w:rPr>
                <w:rFonts w:ascii="Calibri" w:hAnsi="Calibri" w:cs="Calibri"/>
                <w:lang w:val="en-US"/>
              </w:rPr>
            </w:pPr>
            <w:r w:rsidRPr="00C46E11">
              <w:rPr>
                <w:rFonts w:ascii="Calibri" w:hAnsi="Calibri" w:cs="Calibri"/>
                <w:lang w:val="en-US"/>
              </w:rPr>
              <w:t>Resolution 978 of 2007 and its updates, which define how to obtain certification for tax benefits related to environmental investments.</w:t>
            </w:r>
          </w:p>
          <w:p w14:paraId="22803720" w14:textId="4CF48501" w:rsidR="00C46E11" w:rsidRPr="00C46E11" w:rsidRDefault="00C46E11" w:rsidP="00C46E11">
            <w:pPr>
              <w:rPr>
                <w:rFonts w:ascii="Calibri" w:hAnsi="Calibri" w:cs="Calibri"/>
                <w:lang w:val="en-US"/>
              </w:rPr>
            </w:pPr>
            <w:r w:rsidRPr="00C46E11">
              <w:rPr>
                <w:rFonts w:ascii="Calibri" w:hAnsi="Calibri" w:cs="Calibri"/>
                <w:lang w:val="en-US"/>
              </w:rPr>
              <w:t>Resolutions 2733 and 2734 of 2010, which regulate the approval of emission reduction projects under the Clean Development Mechanism (CDM), including the need for documented contributions to sustainable development </w:t>
            </w:r>
          </w:p>
          <w:p w14:paraId="51978899" w14:textId="55E5A28F" w:rsidR="00C46E11" w:rsidRPr="00C46E11" w:rsidRDefault="00C46E11" w:rsidP="00C46E11">
            <w:pPr>
              <w:rPr>
                <w:rFonts w:ascii="Calibri" w:hAnsi="Calibri" w:cs="Calibri"/>
                <w:lang w:val="en-US"/>
              </w:rPr>
            </w:pPr>
            <w:r w:rsidRPr="00C46E11">
              <w:rPr>
                <w:rFonts w:ascii="Calibri" w:hAnsi="Calibri" w:cs="Calibri"/>
                <w:lang w:val="en-US"/>
              </w:rPr>
              <w:t>The resolution  encourages the use of </w:t>
            </w:r>
            <w:proofErr w:type="spellStart"/>
            <w:r w:rsidRPr="00C46E11">
              <w:rPr>
                <w:rFonts w:ascii="Calibri" w:hAnsi="Calibri" w:cs="Calibri"/>
                <w:lang w:val="en-US"/>
              </w:rPr>
              <w:t>RENARE</w:t>
            </w:r>
            <w:proofErr w:type="spellEnd"/>
            <w:r w:rsidRPr="00C46E11">
              <w:rPr>
                <w:rFonts w:ascii="Calibri" w:hAnsi="Calibri" w:cs="Calibri"/>
                <w:lang w:val="en-US"/>
              </w:rPr>
              <w:t> (</w:t>
            </w:r>
            <w:proofErr w:type="spellStart"/>
            <w:r w:rsidRPr="00C46E11">
              <w:rPr>
                <w:rFonts w:ascii="Calibri" w:hAnsi="Calibri" w:cs="Calibri"/>
                <w:lang w:val="en-US"/>
              </w:rPr>
              <w:t>Registro</w:t>
            </w:r>
            <w:proofErr w:type="spellEnd"/>
            <w:r w:rsidRPr="00C46E11">
              <w:rPr>
                <w:rFonts w:ascii="Calibri" w:hAnsi="Calibri" w:cs="Calibri"/>
                <w:lang w:val="en-US"/>
              </w:rPr>
              <w:t xml:space="preserve"> Nacional de </w:t>
            </w:r>
            <w:proofErr w:type="spellStart"/>
            <w:r w:rsidRPr="00C46E11">
              <w:rPr>
                <w:rFonts w:ascii="Calibri" w:hAnsi="Calibri" w:cs="Calibri"/>
                <w:lang w:val="en-US"/>
              </w:rPr>
              <w:t>Reducción</w:t>
            </w:r>
            <w:proofErr w:type="spellEnd"/>
            <w:r w:rsidRPr="00C46E11">
              <w:rPr>
                <w:rFonts w:ascii="Calibri" w:hAnsi="Calibri" w:cs="Calibri"/>
                <w:lang w:val="en-US"/>
              </w:rPr>
              <w:t xml:space="preserve"> de </w:t>
            </w:r>
            <w:proofErr w:type="spellStart"/>
            <w:r w:rsidRPr="00C46E11">
              <w:rPr>
                <w:rFonts w:ascii="Calibri" w:hAnsi="Calibri" w:cs="Calibri"/>
                <w:lang w:val="en-US"/>
              </w:rPr>
              <w:t>Emisiones</w:t>
            </w:r>
            <w:proofErr w:type="spellEnd"/>
            <w:r w:rsidRPr="00C46E11">
              <w:rPr>
                <w:rFonts w:ascii="Calibri" w:hAnsi="Calibri" w:cs="Calibri"/>
                <w:lang w:val="en-US"/>
              </w:rPr>
              <w:t>) to identify and replicate certified mitigation initiatives. This implies that certified or registered actions are the standard reference for planning and implementation </w:t>
            </w:r>
          </w:p>
          <w:p w14:paraId="399AD167" w14:textId="3350F6AA" w:rsidR="00C46E11" w:rsidRPr="00C46E11" w:rsidRDefault="00C46E11" w:rsidP="00C46E11">
            <w:pPr>
              <w:rPr>
                <w:rFonts w:ascii="Calibri" w:hAnsi="Calibri" w:cs="Calibri"/>
                <w:lang w:val="en-US"/>
              </w:rPr>
            </w:pPr>
            <w:r w:rsidRPr="00C46E11">
              <w:rPr>
                <w:rFonts w:ascii="Calibri" w:hAnsi="Calibri" w:cs="Calibri"/>
                <w:lang w:val="en-US"/>
              </w:rPr>
              <w:t>While 01 Resolucion-0849-de-2022 1 does not explicitly mention offsetting standards, it mandates the use of the guide that includes these certification requirements </w:t>
            </w:r>
          </w:p>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45971A1B" w14:textId="77777777" w:rsidR="00A00C03" w:rsidRPr="00A00C03" w:rsidRDefault="00A00C03" w:rsidP="00A00C03">
            <w:pPr>
              <w:rPr>
                <w:rFonts w:ascii="Calibri" w:hAnsi="Calibri" w:cs="Calibri"/>
                <w:lang w:val="en-US"/>
              </w:rPr>
            </w:pPr>
            <w:r w:rsidRPr="00A00C03">
              <w:rPr>
                <w:rFonts w:ascii="Calibri" w:hAnsi="Calibri" w:cs="Calibri"/>
              </w:rPr>
              <w:t>Yes, the Colombian climate policy framework includes additional guidance on the appropriate use of offsets.</w:t>
            </w:r>
            <w:r w:rsidRPr="00A00C03">
              <w:rPr>
                <w:rFonts w:ascii="Calibri" w:hAnsi="Calibri" w:cs="Calibri"/>
              </w:rPr>
              <w:br/>
            </w:r>
            <w:r w:rsidRPr="00A00C03">
              <w:rPr>
                <w:rFonts w:ascii="Calibri" w:hAnsi="Calibri" w:cs="Calibri"/>
                <w:lang w:val="en-US"/>
              </w:rPr>
              <w:t>Offsets must be certified and verified, as defined in Resolution 1447 of 2018, which regulates verified GHG reductions and removals.</w:t>
            </w:r>
          </w:p>
          <w:p w14:paraId="50D154F3" w14:textId="77777777" w:rsidR="00A00C03" w:rsidRPr="00A00C03" w:rsidRDefault="00A00C03" w:rsidP="00A00C03">
            <w:pPr>
              <w:rPr>
                <w:rFonts w:ascii="Calibri" w:hAnsi="Calibri" w:cs="Calibri"/>
                <w:lang w:val="en-US"/>
              </w:rPr>
            </w:pPr>
            <w:r w:rsidRPr="00A00C03">
              <w:rPr>
                <w:rFonts w:ascii="Calibri" w:hAnsi="Calibri" w:cs="Calibri"/>
                <w:lang w:val="en-US"/>
              </w:rPr>
              <w:t>Use of RENARE (National Emissions Reduction Registry) is encouraged to identify and replicate certified mitigation initiatives.</w:t>
            </w:r>
          </w:p>
          <w:p w14:paraId="09B4D1A3" w14:textId="77777777" w:rsidR="00A00C03" w:rsidRPr="00A00C03" w:rsidRDefault="00A00C03" w:rsidP="00A00C03">
            <w:pPr>
              <w:rPr>
                <w:rFonts w:ascii="Calibri" w:hAnsi="Calibri" w:cs="Calibri"/>
                <w:lang w:val="en-US"/>
              </w:rPr>
            </w:pPr>
            <w:r w:rsidRPr="00A00C03">
              <w:rPr>
                <w:rFonts w:ascii="Calibri" w:hAnsi="Calibri" w:cs="Calibri"/>
                <w:lang w:val="en-US"/>
              </w:rPr>
              <w:t>Offsets must align with national strategies like the NDC, PNCC, and E2050, ensuring consistency and avoiding double counting.</w:t>
            </w:r>
          </w:p>
          <w:p w14:paraId="03B15135" w14:textId="78DB0825"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6A64768" w:rsidR="00890032" w:rsidRPr="00C37D48" w:rsidRDefault="00A00C03"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5061063" w14:textId="57300367" w:rsidR="00A00C03" w:rsidRPr="00A74F48" w:rsidRDefault="00A00C03" w:rsidP="00A00C03">
            <w:pPr>
              <w:rPr>
                <w:rFonts w:ascii="Calibri" w:hAnsi="Calibri" w:cs="Calibri"/>
                <w:lang w:val="en-US"/>
              </w:rPr>
            </w:pPr>
            <w:r w:rsidRPr="00A74F48">
              <w:rPr>
                <w:rFonts w:ascii="Calibri" w:hAnsi="Calibri" w:cs="Calibri"/>
              </w:rPr>
              <w:t xml:space="preserve">The requirement is established in </w:t>
            </w:r>
            <w:proofErr w:type="spellStart"/>
            <w:r w:rsidRPr="00A74F48">
              <w:rPr>
                <w:rFonts w:ascii="Calibri" w:hAnsi="Calibri" w:cs="Calibri"/>
              </w:rPr>
              <w:t>Resolucion</w:t>
            </w:r>
            <w:proofErr w:type="spellEnd"/>
            <w:r w:rsidRPr="00A74F48">
              <w:rPr>
                <w:rFonts w:ascii="Calibri" w:hAnsi="Calibri" w:cs="Calibri"/>
              </w:rPr>
              <w:t xml:space="preserve"> 0849 de 2022, which mandates that departments, regional environmental authorities, and national parks (where applicable) must formulate and implement Planes </w:t>
            </w:r>
            <w:proofErr w:type="spellStart"/>
            <w:r w:rsidRPr="00A74F48">
              <w:rPr>
                <w:rFonts w:ascii="Calibri" w:hAnsi="Calibri" w:cs="Calibri"/>
              </w:rPr>
              <w:t>Integrales</w:t>
            </w:r>
            <w:proofErr w:type="spellEnd"/>
            <w:r w:rsidRPr="00A74F48">
              <w:rPr>
                <w:rFonts w:ascii="Calibri" w:hAnsi="Calibri" w:cs="Calibri"/>
              </w:rPr>
              <w:t xml:space="preserve"> de </w:t>
            </w:r>
            <w:proofErr w:type="spellStart"/>
            <w:r w:rsidRPr="00A74F48">
              <w:rPr>
                <w:rFonts w:ascii="Calibri" w:hAnsi="Calibri" w:cs="Calibri"/>
              </w:rPr>
              <w:t>Gestión</w:t>
            </w:r>
            <w:proofErr w:type="spellEnd"/>
            <w:r w:rsidRPr="00A74F48">
              <w:rPr>
                <w:rFonts w:ascii="Calibri" w:hAnsi="Calibri" w:cs="Calibri"/>
              </w:rPr>
              <w:t xml:space="preserve"> del Cambio </w:t>
            </w:r>
            <w:proofErr w:type="spellStart"/>
            <w:r w:rsidRPr="00A74F48">
              <w:rPr>
                <w:rFonts w:ascii="Calibri" w:hAnsi="Calibri" w:cs="Calibri"/>
              </w:rPr>
              <w:t>Climático</w:t>
            </w:r>
            <w:proofErr w:type="spellEnd"/>
            <w:r w:rsidRPr="00A74F48">
              <w:rPr>
                <w:rFonts w:ascii="Calibri" w:hAnsi="Calibri" w:cs="Calibri"/>
              </w:rPr>
              <w:t xml:space="preserve"> </w:t>
            </w:r>
            <w:proofErr w:type="spellStart"/>
            <w:r w:rsidRPr="00A74F48">
              <w:rPr>
                <w:rFonts w:ascii="Calibri" w:hAnsi="Calibri" w:cs="Calibri"/>
              </w:rPr>
              <w:t>Territoriales</w:t>
            </w:r>
            <w:proofErr w:type="spellEnd"/>
            <w:r w:rsidRPr="00A74F48">
              <w:rPr>
                <w:rFonts w:ascii="Calibri" w:hAnsi="Calibri" w:cs="Calibri"/>
              </w:rPr>
              <w:t xml:space="preserve"> (</w:t>
            </w:r>
            <w:proofErr w:type="spellStart"/>
            <w:r w:rsidRPr="00A74F48">
              <w:rPr>
                <w:rFonts w:ascii="Calibri" w:hAnsi="Calibri" w:cs="Calibri"/>
              </w:rPr>
              <w:t>PIGCCT</w:t>
            </w:r>
            <w:proofErr w:type="spellEnd"/>
            <w:r w:rsidRPr="00A74F48">
              <w:rPr>
                <w:rFonts w:ascii="Calibri" w:hAnsi="Calibri" w:cs="Calibri"/>
              </w:rPr>
              <w:t>). These plans serve as the official transition plans for climate adaptation and mitigation</w:t>
            </w:r>
            <w:r w:rsidRPr="00A74F48">
              <w:rPr>
                <w:rFonts w:ascii="Calibri" w:hAnsi="Calibri" w:cs="Calibri"/>
              </w:rPr>
              <w:br/>
            </w:r>
            <w:r w:rsidRPr="00A74F48">
              <w:rPr>
                <w:rFonts w:ascii="Calibri" w:hAnsi="Calibri" w:cs="Calibri"/>
                <w:lang w:val="en-US"/>
              </w:rPr>
              <w:t>Required Entities:</w:t>
            </w:r>
            <w:r w:rsidRPr="00A74F48">
              <w:rPr>
                <w:rFonts w:ascii="Calibri" w:hAnsi="Calibri" w:cs="Calibri"/>
                <w:lang w:val="en-US"/>
              </w:rPr>
              <w:br/>
              <w:t>Departments, regional environmental authorities, and national parks (when applicable) are mandated to develop PIGCCTs under Article 18 of Law 1931 of 2018 </w:t>
            </w:r>
          </w:p>
          <w:p w14:paraId="5349A320" w14:textId="77777777" w:rsidR="00A00C03" w:rsidRPr="00A00C03" w:rsidRDefault="00A00C03" w:rsidP="00A00C03">
            <w:pPr>
              <w:rPr>
                <w:rFonts w:ascii="Calibri" w:hAnsi="Calibri" w:cs="Calibri"/>
                <w:lang w:val="en-US"/>
              </w:rPr>
            </w:pPr>
            <w:r w:rsidRPr="00A00C03">
              <w:rPr>
                <w:rFonts w:ascii="Calibri" w:hAnsi="Calibri" w:cs="Calibri"/>
                <w:lang w:val="en-US"/>
              </w:rPr>
              <w:t>Voluntary/Recommended Entities:</w:t>
            </w:r>
            <w:r w:rsidRPr="00A00C03">
              <w:rPr>
                <w:rFonts w:ascii="Calibri" w:hAnsi="Calibri" w:cs="Calibri"/>
                <w:lang w:val="en-US"/>
              </w:rPr>
              <w:br/>
              <w:t>Districts and municipalities are invited to formulate their own territorial climate plans, but this is not mandatory. Their participation is guided by recommendations from the Intersectoral Commission on Climate Change (CICC) </w:t>
            </w:r>
          </w:p>
          <w:p w14:paraId="089BA419" w14:textId="4B03D80B"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A574EAD" w:rsidR="003618D4" w:rsidRPr="00C37D48" w:rsidRDefault="00A74F48"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15871B1D" w:rsidR="003618D4" w:rsidRPr="00C37D48" w:rsidRDefault="00A74F48"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41A7A6C1" w:rsidR="003618D4" w:rsidRPr="00C37D48" w:rsidRDefault="00A74F48"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550D0F2" w:rsidR="003618D4" w:rsidRPr="00C37D48" w:rsidRDefault="00A74F48"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42D014C5" w:rsidR="003618D4" w:rsidRPr="00C37D48" w:rsidRDefault="00A74F48"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3A61BC5A" w:rsidR="003618D4" w:rsidRPr="00C37D48" w:rsidRDefault="00A74F48"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D070B99" w14:textId="0AE55F3E" w:rsidR="00A74F48" w:rsidRPr="00A74F48" w:rsidRDefault="00A74F48" w:rsidP="00A74F48">
            <w:pPr>
              <w:rPr>
                <w:rFonts w:ascii="Calibri" w:hAnsi="Calibri" w:cs="Calibri"/>
                <w:lang w:val="en-US"/>
              </w:rPr>
            </w:pPr>
            <w:r w:rsidRPr="00A74F48">
              <w:rPr>
                <w:rFonts w:ascii="Calibri" w:hAnsi="Calibri" w:cs="Calibri"/>
                <w:lang w:val="en-US"/>
              </w:rPr>
              <w:t>Timeframe: The action plan phase of the PIGCCT includes short-, medium-, and long-term implementation horizons, especially for nature-based solutions and emissions management </w:t>
            </w:r>
          </w:p>
          <w:p w14:paraId="60BD0930" w14:textId="5C9A58CF" w:rsidR="00A74F48" w:rsidRPr="00A74F48" w:rsidRDefault="00A74F48" w:rsidP="00A74F48">
            <w:pPr>
              <w:rPr>
                <w:rFonts w:ascii="Calibri" w:hAnsi="Calibri" w:cs="Calibri"/>
                <w:lang w:val="en-US"/>
              </w:rPr>
            </w:pPr>
            <w:r w:rsidRPr="00A74F48">
              <w:rPr>
                <w:rFonts w:ascii="Calibri" w:hAnsi="Calibri" w:cs="Calibri"/>
                <w:lang w:val="en-US"/>
              </w:rPr>
              <w:t>KPIs: The use of technical indicator sheets is required for monitoring and evaluating both the action plan and the overall transition plan, aligned with national climate policy </w:t>
            </w:r>
          </w:p>
          <w:p w14:paraId="3957AE27" w14:textId="4E259D2A" w:rsidR="00A74F48" w:rsidRPr="00A74F48" w:rsidRDefault="00A74F48" w:rsidP="00A74F48">
            <w:pPr>
              <w:rPr>
                <w:rFonts w:ascii="Calibri" w:hAnsi="Calibri" w:cs="Calibri"/>
                <w:lang w:val="en-US"/>
              </w:rPr>
            </w:pPr>
            <w:r w:rsidRPr="00A74F48">
              <w:rPr>
                <w:rFonts w:ascii="Calibri" w:hAnsi="Calibri" w:cs="Calibri"/>
                <w:lang w:val="en-US"/>
              </w:rPr>
              <w:t>Updates: The guide recommends periodic review and adjustment of the plan, coordinated through the Intersectoral Commission on Climate Change </w:t>
            </w:r>
          </w:p>
          <w:p w14:paraId="33337C22" w14:textId="25D0369E" w:rsidR="00A74F48" w:rsidRPr="00A74F48" w:rsidRDefault="00A74F48" w:rsidP="00A74F48">
            <w:pPr>
              <w:rPr>
                <w:rFonts w:ascii="Calibri" w:hAnsi="Calibri" w:cs="Calibri"/>
                <w:lang w:val="en-US"/>
              </w:rPr>
            </w:pPr>
            <w:r w:rsidRPr="00A74F48">
              <w:rPr>
                <w:rFonts w:ascii="Calibri" w:hAnsi="Calibri" w:cs="Calibri"/>
                <w:lang w:val="en-US"/>
              </w:rPr>
              <w:t xml:space="preserve">Scenario Analysis: The guide suggests using </w:t>
            </w:r>
            <w:proofErr w:type="spellStart"/>
            <w:r w:rsidRPr="00A74F48">
              <w:rPr>
                <w:rFonts w:ascii="Calibri" w:hAnsi="Calibri" w:cs="Calibri"/>
                <w:lang w:val="en-US"/>
              </w:rPr>
              <w:t>backcasting</w:t>
            </w:r>
            <w:proofErr w:type="spellEnd"/>
            <w:r w:rsidRPr="00A74F48">
              <w:rPr>
                <w:rFonts w:ascii="Calibri" w:hAnsi="Calibri" w:cs="Calibri"/>
                <w:lang w:val="en-US"/>
              </w:rPr>
              <w:t xml:space="preserve"> and alignment with national strategies (e.g., E2050) to assess ambition and feasibility </w:t>
            </w:r>
          </w:p>
          <w:p w14:paraId="45EF5B2C" w14:textId="1415466A" w:rsidR="00A74F48" w:rsidRPr="00A74F48" w:rsidRDefault="00A74F48" w:rsidP="00A74F48">
            <w:pPr>
              <w:rPr>
                <w:rFonts w:ascii="Calibri" w:hAnsi="Calibri" w:cs="Calibri"/>
                <w:lang w:val="en-US"/>
              </w:rPr>
            </w:pPr>
            <w:r w:rsidRPr="00A74F48">
              <w:rPr>
                <w:rFonts w:ascii="Calibri" w:hAnsi="Calibri" w:cs="Calibri"/>
                <w:lang w:val="en-US"/>
              </w:rPr>
              <w:t>Capital Planning: It recommends integrating climate change into territorial planning instruments, which includes financial planning and investment prioritization </w:t>
            </w:r>
          </w:p>
          <w:p w14:paraId="0A89767D" w14:textId="77777777" w:rsidR="00A74F48" w:rsidRPr="00A74F48" w:rsidRDefault="00A74F48" w:rsidP="00A74F48">
            <w:pPr>
              <w:rPr>
                <w:rFonts w:ascii="Calibri" w:hAnsi="Calibri" w:cs="Calibri"/>
                <w:lang w:val="en-US"/>
              </w:rPr>
            </w:pPr>
            <w:r w:rsidRPr="00A74F48">
              <w:rPr>
                <w:rFonts w:ascii="Calibri" w:hAnsi="Calibri" w:cs="Calibri"/>
                <w:lang w:val="en-US"/>
              </w:rPr>
              <w:t>Verification: There is no mention of mandatory third-party verification or audits for the transition plan itself </w:t>
            </w:r>
          </w:p>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A0E005F" w:rsidR="00E7486E" w:rsidRPr="00C37D48" w:rsidRDefault="00A74F48"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73EAEBA7" w14:textId="77777777" w:rsidR="00E7486E" w:rsidRPr="00F72ECB" w:rsidRDefault="00A74F48" w:rsidP="00C37D48">
            <w:pPr>
              <w:rPr>
                <w:rFonts w:ascii="Calibri" w:hAnsi="Calibri" w:cs="Calibri"/>
              </w:rPr>
            </w:pPr>
            <w:r w:rsidRPr="00F72ECB">
              <w:rPr>
                <w:rFonts w:ascii="Calibri" w:hAnsi="Calibri" w:cs="Calibri"/>
              </w:rPr>
              <w:t xml:space="preserve">Article 18 of Law 1931 of 2018, as implemented through  </w:t>
            </w:r>
            <w:proofErr w:type="spellStart"/>
            <w:r w:rsidRPr="00F72ECB">
              <w:rPr>
                <w:rFonts w:ascii="Calibri" w:hAnsi="Calibri" w:cs="Calibri"/>
              </w:rPr>
              <w:t>Resolucion</w:t>
            </w:r>
            <w:proofErr w:type="spellEnd"/>
            <w:r w:rsidRPr="00F72ECB">
              <w:rPr>
                <w:rFonts w:ascii="Calibri" w:hAnsi="Calibri" w:cs="Calibri"/>
              </w:rPr>
              <w:t xml:space="preserve"> 0849 de 2022 , mandates that territorial entities must formulate and implement PIGCCTs (Territorial Climate Change Management Plans), including monitoring and evaluation as part of their structure</w:t>
            </w:r>
          </w:p>
          <w:p w14:paraId="61BD6A4B" w14:textId="73ABA005" w:rsidR="00A74F48" w:rsidRPr="00F72ECB" w:rsidRDefault="00A74F48" w:rsidP="00A74F48">
            <w:pPr>
              <w:rPr>
                <w:rFonts w:ascii="Calibri" w:hAnsi="Calibri" w:cs="Calibri"/>
                <w:lang w:val="en-US"/>
              </w:rPr>
            </w:pPr>
            <w:r w:rsidRPr="00F72ECB">
              <w:rPr>
                <w:rFonts w:ascii="Calibri" w:hAnsi="Calibri" w:cs="Calibri"/>
                <w:lang w:val="en-US"/>
              </w:rPr>
              <w:t>The support document of the resolution outlines a dedicated Phase V: Monitoring, Follow-up, and Evaluation, which must be conducted annually. This includes:</w:t>
            </w:r>
          </w:p>
          <w:p w14:paraId="3AA3B09D" w14:textId="77777777" w:rsidR="00A74F48" w:rsidRPr="00F72ECB" w:rsidRDefault="00A74F48" w:rsidP="00A74F48">
            <w:pPr>
              <w:rPr>
                <w:rFonts w:ascii="Calibri" w:hAnsi="Calibri" w:cs="Calibri"/>
                <w:lang w:val="en-US"/>
              </w:rPr>
            </w:pPr>
            <w:r w:rsidRPr="00F72ECB">
              <w:rPr>
                <w:rFonts w:ascii="Calibri" w:hAnsi="Calibri" w:cs="Calibri"/>
                <w:lang w:val="en-US"/>
              </w:rPr>
              <w:t>Tracking progress on action plans.</w:t>
            </w:r>
          </w:p>
          <w:p w14:paraId="34BB4A0F" w14:textId="77777777" w:rsidR="00A74F48" w:rsidRPr="00F72ECB" w:rsidRDefault="00A74F48" w:rsidP="00A74F48">
            <w:pPr>
              <w:rPr>
                <w:rFonts w:ascii="Calibri" w:hAnsi="Calibri" w:cs="Calibri"/>
                <w:lang w:val="en-US"/>
              </w:rPr>
            </w:pPr>
            <w:r w:rsidRPr="00F72ECB">
              <w:rPr>
                <w:rFonts w:ascii="Calibri" w:hAnsi="Calibri" w:cs="Calibri"/>
                <w:lang w:val="en-US"/>
              </w:rPr>
              <w:t>Using technical indicator sheets to assess implementation.</w:t>
            </w:r>
          </w:p>
          <w:p w14:paraId="31844D86" w14:textId="1A26CCD7" w:rsidR="00A74F48" w:rsidRPr="00F72ECB" w:rsidRDefault="00A74F48" w:rsidP="00A74F48">
            <w:pPr>
              <w:rPr>
                <w:rFonts w:ascii="Calibri" w:hAnsi="Calibri" w:cs="Calibri"/>
                <w:lang w:val="en-US"/>
              </w:rPr>
            </w:pPr>
            <w:r w:rsidRPr="00F72ECB">
              <w:rPr>
                <w:rFonts w:ascii="Calibri" w:hAnsi="Calibri" w:cs="Calibri"/>
                <w:lang w:val="en-US"/>
              </w:rPr>
              <w:t>Making adjustments based on results </w:t>
            </w:r>
          </w:p>
          <w:p w14:paraId="47D3A011" w14:textId="5D8D12AB" w:rsidR="00A74F48" w:rsidRPr="00F72ECB" w:rsidRDefault="00A74F48" w:rsidP="00A74F48">
            <w:pPr>
              <w:rPr>
                <w:rFonts w:ascii="Calibri" w:hAnsi="Calibri" w:cs="Calibri"/>
                <w:lang w:val="en-US"/>
              </w:rPr>
            </w:pPr>
            <w:r w:rsidRPr="00F72ECB">
              <w:rPr>
                <w:rFonts w:ascii="Calibri" w:hAnsi="Calibri" w:cs="Calibri"/>
                <w:lang w:val="en-US"/>
              </w:rPr>
              <w:lastRenderedPageBreak/>
              <w:t>Roles and Responsibilities:</w:t>
            </w:r>
            <w:r w:rsidRPr="00F72ECB">
              <w:rPr>
                <w:rFonts w:ascii="Calibri" w:hAnsi="Calibri" w:cs="Calibri"/>
                <w:lang w:val="en-US"/>
              </w:rPr>
              <w:br/>
              <w:t>Monitoring is to be carried out by territorial entities in coordination with regional environmental authorities, as specified in Article 8 of Law 1931 of 2018 </w:t>
            </w:r>
          </w:p>
          <w:p w14:paraId="1CB077C8" w14:textId="06AF2A24" w:rsidR="00A74F48" w:rsidRPr="00F72ECB" w:rsidRDefault="00A74F48" w:rsidP="00A74F48">
            <w:pPr>
              <w:rPr>
                <w:rFonts w:ascii="Calibri" w:hAnsi="Calibri" w:cs="Calibri"/>
                <w:lang w:val="en-US"/>
              </w:rPr>
            </w:pPr>
            <w:r w:rsidRPr="00F72ECB">
              <w:rPr>
                <w:rFonts w:ascii="Calibri" w:hAnsi="Calibri" w:cs="Calibri"/>
                <w:lang w:val="en-US"/>
              </w:rPr>
              <w:t>Methodological Guidance:</w:t>
            </w:r>
            <w:r w:rsidRPr="00F72ECB">
              <w:rPr>
                <w:rFonts w:ascii="Calibri" w:hAnsi="Calibri" w:cs="Calibri"/>
                <w:lang w:val="en-US"/>
              </w:rPr>
              <w:br/>
              <w:t>The support document of the resolution recommends using the Theory of Change methodology to define and track objectives, ensuring alignment with long-term goals and expected impacts</w:t>
            </w:r>
          </w:p>
          <w:p w14:paraId="0C49EF13" w14:textId="71C3DD23" w:rsidR="00A74F48" w:rsidRPr="00F72ECB" w:rsidRDefault="00A74F48"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58AC45E6" w:rsidR="00671EA4" w:rsidRPr="00C37D48" w:rsidRDefault="00A74F48"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046CEF01" w:rsidR="00773639" w:rsidRPr="00C37D48" w:rsidRDefault="00A74F48"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6219A33F" w:rsidR="00773639" w:rsidRPr="00C37D48" w:rsidRDefault="00A74F48"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0C989656" w:rsidR="00773639" w:rsidRPr="00C37D48" w:rsidRDefault="00A74F48"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30F13C2B" w14:textId="34DF928B" w:rsidR="00A74F48" w:rsidRPr="00F72ECB" w:rsidRDefault="00A74F48" w:rsidP="00A74F48">
            <w:pPr>
              <w:rPr>
                <w:rFonts w:ascii="Calibri" w:hAnsi="Calibri" w:cs="Calibri"/>
                <w:lang w:val="en-US"/>
              </w:rPr>
            </w:pPr>
            <w:r w:rsidRPr="00F72ECB">
              <w:rPr>
                <w:rFonts w:ascii="Calibri" w:hAnsi="Calibri" w:cs="Calibri"/>
                <w:lang w:val="en-US"/>
              </w:rPr>
              <w:t>value Chain &amp; Governance Alignment:</w:t>
            </w:r>
            <w:r w:rsidRPr="00F72ECB">
              <w:rPr>
                <w:rFonts w:ascii="Calibri" w:hAnsi="Calibri" w:cs="Calibri"/>
                <w:lang w:val="en-US"/>
              </w:rPr>
              <w:br/>
              <w:t>The support document of the resolution recommends identifying and characterizing stakeholders, defining their roles, and determining their level of participation and decision-making in the transition planning process. This includes aligning climate actions with other territorial planning instruments and development policies </w:t>
            </w:r>
          </w:p>
          <w:p w14:paraId="319DFEE3" w14:textId="77777777" w:rsidR="00A74F48" w:rsidRPr="00F72ECB" w:rsidRDefault="00A74F48" w:rsidP="00A74F48">
            <w:pPr>
              <w:rPr>
                <w:rFonts w:ascii="Calibri" w:hAnsi="Calibri" w:cs="Calibri"/>
                <w:lang w:val="en-US"/>
              </w:rPr>
            </w:pPr>
            <w:r w:rsidRPr="00F72ECB">
              <w:rPr>
                <w:rFonts w:ascii="Calibri" w:hAnsi="Calibri" w:cs="Calibri"/>
                <w:lang w:val="en-US"/>
              </w:rPr>
              <w:lastRenderedPageBreak/>
              <w:t>Policy Engagement:</w:t>
            </w:r>
            <w:r w:rsidRPr="00F72ECB">
              <w:rPr>
                <w:rFonts w:ascii="Calibri" w:hAnsi="Calibri" w:cs="Calibri"/>
                <w:lang w:val="en-US"/>
              </w:rPr>
              <w:br/>
              <w:t>The same guide encourages alignment of proposed measures with national strategies such as the National Climate Change Policy (PNCC), the Nationally Determined Contribution (NDC), and the Long-Term Strategy (E2050), which implies a need for coordinated policy engagement </w:t>
            </w:r>
          </w:p>
          <w:p w14:paraId="75131E65" w14:textId="2E5B79FC" w:rsidR="00A74F48" w:rsidRPr="00F72ECB" w:rsidRDefault="00A74F48" w:rsidP="00A74F48">
            <w:pPr>
              <w:rPr>
                <w:rFonts w:ascii="Calibri" w:hAnsi="Calibri" w:cs="Calibri"/>
                <w:lang w:val="en-US"/>
              </w:rPr>
            </w:pPr>
            <w:r w:rsidRPr="00F72ECB">
              <w:rPr>
                <w:rFonts w:ascii="Calibri" w:hAnsi="Calibri" w:cs="Calibri"/>
                <w:lang w:val="en-US"/>
              </w:rPr>
              <w:t>Governance Structures:</w:t>
            </w:r>
            <w:r w:rsidRPr="00F72ECB">
              <w:rPr>
                <w:rFonts w:ascii="Calibri" w:hAnsi="Calibri" w:cs="Calibri"/>
                <w:lang w:val="en-US"/>
              </w:rPr>
              <w:br/>
              <w:t>The support document of the resolution emphasizes that actions should be consistent with national ambition levels and governance frameworks, and recommends using tools like the 2050 Calculator to ensure alignment with long-term decarbonization goals</w:t>
            </w:r>
          </w:p>
          <w:p w14:paraId="5B02B6C2" w14:textId="77777777" w:rsidR="00813A3A" w:rsidRPr="00F72ECB"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C9C4843" w:rsidR="00B610C2" w:rsidRPr="00610F28" w:rsidRDefault="00A74F48"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28CE405" w:rsidR="00B610C2" w:rsidRPr="00610F28" w:rsidRDefault="00A74F48"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21457B3" w:rsidR="00B610C2" w:rsidRPr="00610F28" w:rsidRDefault="00A74F48"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1755D99" w:rsidR="00B610C2" w:rsidRPr="00610F28" w:rsidRDefault="00A74F48"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E947BD1" w:rsidR="00B610C2" w:rsidRPr="00610F28" w:rsidRDefault="00A74F48"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15ED479" w:rsidR="00B610C2" w:rsidRPr="00610F28" w:rsidRDefault="00A74F48"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E09EDBE" w:rsidR="00B610C2" w:rsidRPr="00610F28" w:rsidRDefault="00A74F48"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DF245F2" w:rsidR="00B610C2" w:rsidRPr="00610F28" w:rsidRDefault="00A74F48"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2725065" w:rsidR="00B610C2" w:rsidRPr="00610F28" w:rsidRDefault="00A74F48"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68319B9" w:rsidR="00B610C2" w:rsidRPr="00610F28" w:rsidRDefault="00A74F48"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494A547" w:rsidR="00B610C2" w:rsidRPr="00610F28" w:rsidRDefault="000500F5"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43FFB1D" w:rsidR="00B610C2" w:rsidRPr="00610F28" w:rsidRDefault="000500F5" w:rsidP="00610F28">
            <w:pPr>
              <w:rPr>
                <w:rFonts w:ascii="Calibri" w:hAnsi="Calibri" w:cs="Calibri"/>
              </w:rPr>
            </w:pPr>
            <w:r w:rsidRPr="000500F5">
              <w:rPr>
                <w:rFonts w:ascii="Calibri" w:hAnsi="Calibri" w:cs="Calibri"/>
              </w:rPr>
              <w:t>the documents do reference Colombian technical standards (e.g., NTC 5662, NTC 5043, NTC 5660) for data quality, geographic information systems (GIS), and environmental reporting</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0500F5" w:rsidRDefault="00250F54" w:rsidP="00610F28">
            <w:pPr>
              <w:rPr>
                <w:rFonts w:ascii="Calibri" w:hAnsi="Calibri" w:cs="Calibri"/>
              </w:rPr>
            </w:pPr>
          </w:p>
        </w:tc>
        <w:tc>
          <w:tcPr>
            <w:tcW w:w="9373" w:type="dxa"/>
            <w:gridSpan w:val="4"/>
            <w:vAlign w:val="center"/>
          </w:tcPr>
          <w:p w14:paraId="2E2ED3B6" w14:textId="77777777" w:rsidR="000500F5" w:rsidRPr="000500F5" w:rsidRDefault="000500F5" w:rsidP="000500F5">
            <w:pPr>
              <w:rPr>
                <w:rFonts w:ascii="Calibri" w:hAnsi="Calibri" w:cs="Calibri"/>
                <w:lang w:val="en-US"/>
              </w:rPr>
            </w:pPr>
            <w:r w:rsidRPr="000500F5">
              <w:rPr>
                <w:rFonts w:ascii="Calibri" w:hAnsi="Calibri" w:cs="Calibri"/>
                <w:lang w:val="en-US"/>
              </w:rPr>
              <w:t>1. Integration with Long-Term National Strategies</w:t>
            </w:r>
          </w:p>
          <w:p w14:paraId="557CBC2A" w14:textId="77777777" w:rsidR="000500F5" w:rsidRPr="000500F5" w:rsidRDefault="000500F5" w:rsidP="000500F5">
            <w:pPr>
              <w:rPr>
                <w:rFonts w:ascii="Calibri" w:hAnsi="Calibri" w:cs="Calibri"/>
                <w:lang w:val="en-US"/>
              </w:rPr>
            </w:pPr>
            <w:r w:rsidRPr="000500F5">
              <w:rPr>
                <w:rFonts w:ascii="Calibri" w:hAnsi="Calibri" w:cs="Calibri"/>
                <w:lang w:val="en-US"/>
              </w:rPr>
              <w:t>The policy tool explicitly aligns territorial climate planning with Colombia’s:</w:t>
            </w:r>
          </w:p>
          <w:p w14:paraId="2D4B894D" w14:textId="77777777" w:rsidR="000500F5" w:rsidRPr="00F72ECB" w:rsidRDefault="000500F5" w:rsidP="000500F5">
            <w:pPr>
              <w:rPr>
                <w:rFonts w:ascii="Calibri" w:hAnsi="Calibri" w:cs="Calibri"/>
                <w:lang w:val="en-US"/>
              </w:rPr>
            </w:pPr>
            <w:r w:rsidRPr="00F72ECB">
              <w:rPr>
                <w:rFonts w:ascii="Calibri" w:hAnsi="Calibri" w:cs="Calibri"/>
                <w:lang w:val="en-US"/>
              </w:rPr>
              <w:t>Nationally Determined Contribution (NDC),</w:t>
            </w:r>
          </w:p>
          <w:p w14:paraId="45DF13FB" w14:textId="77777777" w:rsidR="000500F5" w:rsidRPr="000500F5" w:rsidRDefault="000500F5" w:rsidP="000500F5">
            <w:pPr>
              <w:rPr>
                <w:rFonts w:ascii="Calibri" w:hAnsi="Calibri" w:cs="Calibri"/>
                <w:lang w:val="en-US"/>
              </w:rPr>
            </w:pPr>
            <w:r w:rsidRPr="000500F5">
              <w:rPr>
                <w:rFonts w:ascii="Calibri" w:hAnsi="Calibri" w:cs="Calibri"/>
                <w:lang w:val="en-US"/>
              </w:rPr>
              <w:t>Long-Term Climate Strategy (E2050), and</w:t>
            </w:r>
          </w:p>
          <w:p w14:paraId="1A0E6931" w14:textId="77777777" w:rsidR="000500F5" w:rsidRPr="000500F5" w:rsidRDefault="000500F5" w:rsidP="000500F5">
            <w:pPr>
              <w:rPr>
                <w:rFonts w:ascii="Calibri" w:hAnsi="Calibri" w:cs="Calibri"/>
                <w:lang w:val="en-US"/>
              </w:rPr>
            </w:pPr>
            <w:r w:rsidRPr="000500F5">
              <w:rPr>
                <w:rFonts w:ascii="Calibri" w:hAnsi="Calibri" w:cs="Calibri"/>
                <w:lang w:val="en-US"/>
              </w:rPr>
              <w:t>National Climate Change Policy (PNCC).</w:t>
            </w:r>
          </w:p>
          <w:p w14:paraId="44466FEE" w14:textId="060535B8" w:rsidR="000500F5" w:rsidRPr="000500F5" w:rsidRDefault="000500F5" w:rsidP="000500F5">
            <w:pPr>
              <w:rPr>
                <w:rFonts w:ascii="Calibri" w:hAnsi="Calibri" w:cs="Calibri"/>
                <w:lang w:val="en-US"/>
              </w:rPr>
            </w:pPr>
            <w:r w:rsidRPr="000500F5">
              <w:rPr>
                <w:rFonts w:ascii="Calibri" w:hAnsi="Calibri" w:cs="Calibri"/>
                <w:lang w:val="en-US"/>
              </w:rPr>
              <w:t>This ensures that local actions contribute directly to national and international climate goals, including carbon neutrality by 2050 </w:t>
            </w:r>
          </w:p>
          <w:p w14:paraId="5D40D593" w14:textId="77777777" w:rsidR="000500F5" w:rsidRPr="000500F5" w:rsidRDefault="000500F5" w:rsidP="000500F5">
            <w:pPr>
              <w:rPr>
                <w:rFonts w:ascii="Calibri" w:hAnsi="Calibri" w:cs="Calibri"/>
                <w:lang w:val="en-US"/>
              </w:rPr>
            </w:pPr>
            <w:r w:rsidRPr="000500F5">
              <w:rPr>
                <w:rFonts w:ascii="Calibri" w:hAnsi="Calibri" w:cs="Calibri"/>
                <w:lang w:val="en-US"/>
              </w:rPr>
              <w:t>2. Use of National Tools and Data Systems</w:t>
            </w:r>
          </w:p>
          <w:p w14:paraId="1B4E599F" w14:textId="77777777" w:rsidR="000500F5" w:rsidRPr="000500F5" w:rsidRDefault="000500F5" w:rsidP="000500F5">
            <w:pPr>
              <w:rPr>
                <w:rFonts w:ascii="Calibri" w:hAnsi="Calibri" w:cs="Calibri"/>
                <w:lang w:val="en-US"/>
              </w:rPr>
            </w:pPr>
            <w:r w:rsidRPr="000500F5">
              <w:rPr>
                <w:rFonts w:ascii="Calibri" w:hAnsi="Calibri" w:cs="Calibri"/>
                <w:lang w:val="en-US"/>
              </w:rPr>
              <w:t>The framework mandates or recommends the use of:</w:t>
            </w:r>
          </w:p>
          <w:p w14:paraId="27D0EDD9" w14:textId="77777777" w:rsidR="000500F5" w:rsidRPr="000500F5" w:rsidRDefault="000500F5" w:rsidP="000500F5">
            <w:pPr>
              <w:rPr>
                <w:rFonts w:ascii="Calibri" w:hAnsi="Calibri" w:cs="Calibri"/>
                <w:lang w:val="en-US"/>
              </w:rPr>
            </w:pPr>
            <w:r w:rsidRPr="000500F5">
              <w:rPr>
                <w:rFonts w:ascii="Calibri" w:hAnsi="Calibri" w:cs="Calibri"/>
                <w:lang w:val="en-US"/>
              </w:rPr>
              <w:t>RENARE: National registry for GHG mitigation initiatives.</w:t>
            </w:r>
          </w:p>
          <w:p w14:paraId="15416371" w14:textId="77777777" w:rsidR="000500F5" w:rsidRPr="000500F5" w:rsidRDefault="000500F5" w:rsidP="000500F5">
            <w:pPr>
              <w:rPr>
                <w:rFonts w:ascii="Calibri" w:hAnsi="Calibri" w:cs="Calibri"/>
                <w:lang w:val="en-US"/>
              </w:rPr>
            </w:pPr>
            <w:r w:rsidRPr="000500F5">
              <w:rPr>
                <w:rFonts w:ascii="Calibri" w:hAnsi="Calibri" w:cs="Calibri"/>
                <w:lang w:val="en-US"/>
              </w:rPr>
              <w:t>SIIVRA: System for assessing vulnerability trajectories.</w:t>
            </w:r>
          </w:p>
          <w:p w14:paraId="0890B614" w14:textId="77777777" w:rsidR="000500F5" w:rsidRPr="000500F5" w:rsidRDefault="000500F5" w:rsidP="000500F5">
            <w:pPr>
              <w:rPr>
                <w:rFonts w:ascii="Calibri" w:hAnsi="Calibri" w:cs="Calibri"/>
                <w:lang w:val="en-US"/>
              </w:rPr>
            </w:pPr>
            <w:r w:rsidRPr="000500F5">
              <w:rPr>
                <w:rFonts w:ascii="Calibri" w:hAnsi="Calibri" w:cs="Calibri"/>
                <w:lang w:val="en-US"/>
              </w:rPr>
              <w:t>IDEAM: National GHG inventory and climate data provider.</w:t>
            </w:r>
          </w:p>
          <w:p w14:paraId="661AEEE8" w14:textId="77777777" w:rsidR="00250F54" w:rsidRPr="000500F5"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0249BA" w14:textId="77777777" w:rsidR="00A07658" w:rsidRDefault="00A07658" w:rsidP="00874E39">
      <w:r>
        <w:separator/>
      </w:r>
    </w:p>
  </w:endnote>
  <w:endnote w:type="continuationSeparator" w:id="0">
    <w:p w14:paraId="45142A94" w14:textId="77777777" w:rsidR="00A07658" w:rsidRDefault="00A07658" w:rsidP="00874E39">
      <w:r>
        <w:continuationSeparator/>
      </w:r>
    </w:p>
  </w:endnote>
  <w:endnote w:type="continuationNotice" w:id="1">
    <w:p w14:paraId="1F2357F7" w14:textId="77777777" w:rsidR="00A07658" w:rsidRDefault="00A076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A2C52D" w14:textId="77777777" w:rsidR="00A07658" w:rsidRDefault="00A07658" w:rsidP="00874E39">
      <w:r>
        <w:separator/>
      </w:r>
    </w:p>
  </w:footnote>
  <w:footnote w:type="continuationSeparator" w:id="0">
    <w:p w14:paraId="64E52FB9" w14:textId="77777777" w:rsidR="00A07658" w:rsidRDefault="00A07658" w:rsidP="00874E39">
      <w:r>
        <w:continuationSeparator/>
      </w:r>
    </w:p>
  </w:footnote>
  <w:footnote w:type="continuationNotice" w:id="1">
    <w:p w14:paraId="7C2321F1" w14:textId="77777777" w:rsidR="00A07658" w:rsidRDefault="00A076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42588554">
    <w:abstractNumId w:val="0"/>
  </w:num>
  <w:num w:numId="2" w16cid:durableId="318391343">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09F"/>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0F5"/>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9A5"/>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9DA"/>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778"/>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8B6"/>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91F"/>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389"/>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482"/>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2F8F"/>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11B"/>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C03"/>
    <w:rsid w:val="00A02AF3"/>
    <w:rsid w:val="00A035AB"/>
    <w:rsid w:val="00A04C9D"/>
    <w:rsid w:val="00A04DB8"/>
    <w:rsid w:val="00A050A2"/>
    <w:rsid w:val="00A05CFC"/>
    <w:rsid w:val="00A064CE"/>
    <w:rsid w:val="00A07658"/>
    <w:rsid w:val="00A0773E"/>
    <w:rsid w:val="00A07FB5"/>
    <w:rsid w:val="00A11A3F"/>
    <w:rsid w:val="00A123CE"/>
    <w:rsid w:val="00A1384B"/>
    <w:rsid w:val="00A14A3D"/>
    <w:rsid w:val="00A14AF3"/>
    <w:rsid w:val="00A14B52"/>
    <w:rsid w:val="00A175F8"/>
    <w:rsid w:val="00A17A2F"/>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921"/>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F48"/>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00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7C7"/>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E11"/>
    <w:rsid w:val="00C46FCF"/>
    <w:rsid w:val="00C4753A"/>
    <w:rsid w:val="00C47560"/>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ECB"/>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1"/>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A00C0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292408">
      <w:bodyDiv w:val="1"/>
      <w:marLeft w:val="0"/>
      <w:marRight w:val="0"/>
      <w:marTop w:val="0"/>
      <w:marBottom w:val="0"/>
      <w:divBdr>
        <w:top w:val="none" w:sz="0" w:space="0" w:color="auto"/>
        <w:left w:val="none" w:sz="0" w:space="0" w:color="auto"/>
        <w:bottom w:val="none" w:sz="0" w:space="0" w:color="auto"/>
        <w:right w:val="none" w:sz="0" w:space="0" w:color="auto"/>
      </w:divBdr>
      <w:divsChild>
        <w:div w:id="1399867270">
          <w:marLeft w:val="0"/>
          <w:marRight w:val="0"/>
          <w:marTop w:val="0"/>
          <w:marBottom w:val="0"/>
          <w:divBdr>
            <w:top w:val="none" w:sz="0" w:space="0" w:color="auto"/>
            <w:left w:val="none" w:sz="0" w:space="0" w:color="auto"/>
            <w:bottom w:val="none" w:sz="0" w:space="0" w:color="auto"/>
            <w:right w:val="none" w:sz="0" w:space="0" w:color="auto"/>
          </w:divBdr>
        </w:div>
      </w:divsChild>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50435957">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425736616">
      <w:bodyDiv w:val="1"/>
      <w:marLeft w:val="0"/>
      <w:marRight w:val="0"/>
      <w:marTop w:val="0"/>
      <w:marBottom w:val="0"/>
      <w:divBdr>
        <w:top w:val="none" w:sz="0" w:space="0" w:color="auto"/>
        <w:left w:val="none" w:sz="0" w:space="0" w:color="auto"/>
        <w:bottom w:val="none" w:sz="0" w:space="0" w:color="auto"/>
        <w:right w:val="none" w:sz="0" w:space="0" w:color="auto"/>
      </w:divBdr>
      <w:divsChild>
        <w:div w:id="792093420">
          <w:marLeft w:val="0"/>
          <w:marRight w:val="0"/>
          <w:marTop w:val="0"/>
          <w:marBottom w:val="0"/>
          <w:divBdr>
            <w:top w:val="none" w:sz="0" w:space="0" w:color="auto"/>
            <w:left w:val="none" w:sz="0" w:space="0" w:color="auto"/>
            <w:bottom w:val="none" w:sz="0" w:space="0" w:color="auto"/>
            <w:right w:val="none" w:sz="0" w:space="0" w:color="auto"/>
          </w:divBdr>
        </w:div>
        <w:div w:id="744571182">
          <w:marLeft w:val="0"/>
          <w:marRight w:val="0"/>
          <w:marTop w:val="0"/>
          <w:marBottom w:val="0"/>
          <w:divBdr>
            <w:top w:val="none" w:sz="0" w:space="0" w:color="auto"/>
            <w:left w:val="none" w:sz="0" w:space="0" w:color="auto"/>
            <w:bottom w:val="none" w:sz="0" w:space="0" w:color="auto"/>
            <w:right w:val="none" w:sz="0" w:space="0" w:color="auto"/>
          </w:divBdr>
        </w:div>
      </w:divsChild>
    </w:div>
    <w:div w:id="444497348">
      <w:bodyDiv w:val="1"/>
      <w:marLeft w:val="0"/>
      <w:marRight w:val="0"/>
      <w:marTop w:val="0"/>
      <w:marBottom w:val="0"/>
      <w:divBdr>
        <w:top w:val="none" w:sz="0" w:space="0" w:color="auto"/>
        <w:left w:val="none" w:sz="0" w:space="0" w:color="auto"/>
        <w:bottom w:val="none" w:sz="0" w:space="0" w:color="auto"/>
        <w:right w:val="none" w:sz="0" w:space="0" w:color="auto"/>
      </w:divBdr>
      <w:divsChild>
        <w:div w:id="1884898745">
          <w:marLeft w:val="0"/>
          <w:marRight w:val="0"/>
          <w:marTop w:val="0"/>
          <w:marBottom w:val="0"/>
          <w:divBdr>
            <w:top w:val="none" w:sz="0" w:space="0" w:color="auto"/>
            <w:left w:val="none" w:sz="0" w:space="0" w:color="auto"/>
            <w:bottom w:val="none" w:sz="0" w:space="0" w:color="auto"/>
            <w:right w:val="none" w:sz="0" w:space="0" w:color="auto"/>
          </w:divBdr>
        </w:div>
        <w:div w:id="1697926614">
          <w:marLeft w:val="0"/>
          <w:marRight w:val="0"/>
          <w:marTop w:val="0"/>
          <w:marBottom w:val="0"/>
          <w:divBdr>
            <w:top w:val="none" w:sz="0" w:space="0" w:color="auto"/>
            <w:left w:val="none" w:sz="0" w:space="0" w:color="auto"/>
            <w:bottom w:val="none" w:sz="0" w:space="0" w:color="auto"/>
            <w:right w:val="none" w:sz="0" w:space="0" w:color="auto"/>
          </w:divBdr>
        </w:div>
        <w:div w:id="992490325">
          <w:marLeft w:val="0"/>
          <w:marRight w:val="0"/>
          <w:marTop w:val="0"/>
          <w:marBottom w:val="0"/>
          <w:divBdr>
            <w:top w:val="none" w:sz="0" w:space="0" w:color="auto"/>
            <w:left w:val="none" w:sz="0" w:space="0" w:color="auto"/>
            <w:bottom w:val="none" w:sz="0" w:space="0" w:color="auto"/>
            <w:right w:val="none" w:sz="0" w:space="0" w:color="auto"/>
          </w:divBdr>
        </w:div>
        <w:div w:id="1734891472">
          <w:marLeft w:val="0"/>
          <w:marRight w:val="0"/>
          <w:marTop w:val="0"/>
          <w:marBottom w:val="0"/>
          <w:divBdr>
            <w:top w:val="none" w:sz="0" w:space="0" w:color="auto"/>
            <w:left w:val="none" w:sz="0" w:space="0" w:color="auto"/>
            <w:bottom w:val="none" w:sz="0" w:space="0" w:color="auto"/>
            <w:right w:val="none" w:sz="0" w:space="0" w:color="auto"/>
          </w:divBdr>
        </w:div>
        <w:div w:id="1801410747">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2590677">
      <w:bodyDiv w:val="1"/>
      <w:marLeft w:val="0"/>
      <w:marRight w:val="0"/>
      <w:marTop w:val="0"/>
      <w:marBottom w:val="0"/>
      <w:divBdr>
        <w:top w:val="none" w:sz="0" w:space="0" w:color="auto"/>
        <w:left w:val="none" w:sz="0" w:space="0" w:color="auto"/>
        <w:bottom w:val="none" w:sz="0" w:space="0" w:color="auto"/>
        <w:right w:val="none" w:sz="0" w:space="0" w:color="auto"/>
      </w:divBdr>
      <w:divsChild>
        <w:div w:id="1522663523">
          <w:marLeft w:val="0"/>
          <w:marRight w:val="0"/>
          <w:marTop w:val="0"/>
          <w:marBottom w:val="0"/>
          <w:divBdr>
            <w:top w:val="none" w:sz="0" w:space="0" w:color="auto"/>
            <w:left w:val="none" w:sz="0" w:space="0" w:color="auto"/>
            <w:bottom w:val="none" w:sz="0" w:space="0" w:color="auto"/>
            <w:right w:val="none" w:sz="0" w:space="0" w:color="auto"/>
          </w:divBdr>
        </w:div>
        <w:div w:id="1706950767">
          <w:marLeft w:val="0"/>
          <w:marRight w:val="0"/>
          <w:marTop w:val="0"/>
          <w:marBottom w:val="0"/>
          <w:divBdr>
            <w:top w:val="none" w:sz="0" w:space="0" w:color="auto"/>
            <w:left w:val="none" w:sz="0" w:space="0" w:color="auto"/>
            <w:bottom w:val="none" w:sz="0" w:space="0" w:color="auto"/>
            <w:right w:val="none" w:sz="0" w:space="0" w:color="auto"/>
          </w:divBdr>
        </w:div>
      </w:divsChild>
    </w:div>
    <w:div w:id="586841565">
      <w:bodyDiv w:val="1"/>
      <w:marLeft w:val="0"/>
      <w:marRight w:val="0"/>
      <w:marTop w:val="0"/>
      <w:marBottom w:val="0"/>
      <w:divBdr>
        <w:top w:val="none" w:sz="0" w:space="0" w:color="auto"/>
        <w:left w:val="none" w:sz="0" w:space="0" w:color="auto"/>
        <w:bottom w:val="none" w:sz="0" w:space="0" w:color="auto"/>
        <w:right w:val="none" w:sz="0" w:space="0" w:color="auto"/>
      </w:divBdr>
      <w:divsChild>
        <w:div w:id="477918721">
          <w:marLeft w:val="0"/>
          <w:marRight w:val="0"/>
          <w:marTop w:val="0"/>
          <w:marBottom w:val="0"/>
          <w:divBdr>
            <w:top w:val="none" w:sz="0" w:space="0" w:color="auto"/>
            <w:left w:val="none" w:sz="0" w:space="0" w:color="auto"/>
            <w:bottom w:val="none" w:sz="0" w:space="0" w:color="auto"/>
            <w:right w:val="none" w:sz="0" w:space="0" w:color="auto"/>
          </w:divBdr>
        </w:div>
        <w:div w:id="1000428167">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2919083">
      <w:bodyDiv w:val="1"/>
      <w:marLeft w:val="0"/>
      <w:marRight w:val="0"/>
      <w:marTop w:val="0"/>
      <w:marBottom w:val="0"/>
      <w:divBdr>
        <w:top w:val="none" w:sz="0" w:space="0" w:color="auto"/>
        <w:left w:val="none" w:sz="0" w:space="0" w:color="auto"/>
        <w:bottom w:val="none" w:sz="0" w:space="0" w:color="auto"/>
        <w:right w:val="none" w:sz="0" w:space="0" w:color="auto"/>
      </w:divBdr>
      <w:divsChild>
        <w:div w:id="284241220">
          <w:marLeft w:val="0"/>
          <w:marRight w:val="0"/>
          <w:marTop w:val="0"/>
          <w:marBottom w:val="0"/>
          <w:divBdr>
            <w:top w:val="none" w:sz="0" w:space="0" w:color="auto"/>
            <w:left w:val="none" w:sz="0" w:space="0" w:color="auto"/>
            <w:bottom w:val="none" w:sz="0" w:space="0" w:color="auto"/>
            <w:right w:val="none" w:sz="0" w:space="0" w:color="auto"/>
          </w:divBdr>
        </w:div>
      </w:divsChild>
    </w:div>
    <w:div w:id="777144880">
      <w:bodyDiv w:val="1"/>
      <w:marLeft w:val="0"/>
      <w:marRight w:val="0"/>
      <w:marTop w:val="0"/>
      <w:marBottom w:val="0"/>
      <w:divBdr>
        <w:top w:val="none" w:sz="0" w:space="0" w:color="auto"/>
        <w:left w:val="none" w:sz="0" w:space="0" w:color="auto"/>
        <w:bottom w:val="none" w:sz="0" w:space="0" w:color="auto"/>
        <w:right w:val="none" w:sz="0" w:space="0" w:color="auto"/>
      </w:divBdr>
      <w:divsChild>
        <w:div w:id="384303692">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6896522">
      <w:bodyDiv w:val="1"/>
      <w:marLeft w:val="0"/>
      <w:marRight w:val="0"/>
      <w:marTop w:val="0"/>
      <w:marBottom w:val="0"/>
      <w:divBdr>
        <w:top w:val="none" w:sz="0" w:space="0" w:color="auto"/>
        <w:left w:val="none" w:sz="0" w:space="0" w:color="auto"/>
        <w:bottom w:val="none" w:sz="0" w:space="0" w:color="auto"/>
        <w:right w:val="none" w:sz="0" w:space="0" w:color="auto"/>
      </w:divBdr>
      <w:divsChild>
        <w:div w:id="840969815">
          <w:marLeft w:val="0"/>
          <w:marRight w:val="0"/>
          <w:marTop w:val="0"/>
          <w:marBottom w:val="0"/>
          <w:divBdr>
            <w:top w:val="none" w:sz="0" w:space="0" w:color="auto"/>
            <w:left w:val="none" w:sz="0" w:space="0" w:color="auto"/>
            <w:bottom w:val="none" w:sz="0" w:space="0" w:color="auto"/>
            <w:right w:val="none" w:sz="0" w:space="0" w:color="auto"/>
          </w:divBdr>
        </w:div>
        <w:div w:id="1682658901">
          <w:marLeft w:val="0"/>
          <w:marRight w:val="0"/>
          <w:marTop w:val="0"/>
          <w:marBottom w:val="0"/>
          <w:divBdr>
            <w:top w:val="none" w:sz="0" w:space="0" w:color="auto"/>
            <w:left w:val="none" w:sz="0" w:space="0" w:color="auto"/>
            <w:bottom w:val="none" w:sz="0" w:space="0" w:color="auto"/>
            <w:right w:val="none" w:sz="0" w:space="0" w:color="auto"/>
          </w:divBdr>
        </w:div>
        <w:div w:id="330069195">
          <w:marLeft w:val="0"/>
          <w:marRight w:val="0"/>
          <w:marTop w:val="0"/>
          <w:marBottom w:val="0"/>
          <w:divBdr>
            <w:top w:val="none" w:sz="0" w:space="0" w:color="auto"/>
            <w:left w:val="none" w:sz="0" w:space="0" w:color="auto"/>
            <w:bottom w:val="none" w:sz="0" w:space="0" w:color="auto"/>
            <w:right w:val="none" w:sz="0" w:space="0" w:color="auto"/>
          </w:divBdr>
        </w:div>
      </w:divsChild>
    </w:div>
    <w:div w:id="877935480">
      <w:bodyDiv w:val="1"/>
      <w:marLeft w:val="0"/>
      <w:marRight w:val="0"/>
      <w:marTop w:val="0"/>
      <w:marBottom w:val="0"/>
      <w:divBdr>
        <w:top w:val="none" w:sz="0" w:space="0" w:color="auto"/>
        <w:left w:val="none" w:sz="0" w:space="0" w:color="auto"/>
        <w:bottom w:val="none" w:sz="0" w:space="0" w:color="auto"/>
        <w:right w:val="none" w:sz="0" w:space="0" w:color="auto"/>
      </w:divBdr>
      <w:divsChild>
        <w:div w:id="910506485">
          <w:marLeft w:val="0"/>
          <w:marRight w:val="0"/>
          <w:marTop w:val="0"/>
          <w:marBottom w:val="0"/>
          <w:divBdr>
            <w:top w:val="none" w:sz="0" w:space="0" w:color="auto"/>
            <w:left w:val="none" w:sz="0" w:space="0" w:color="auto"/>
            <w:bottom w:val="none" w:sz="0" w:space="0" w:color="auto"/>
            <w:right w:val="none" w:sz="0" w:space="0" w:color="auto"/>
          </w:divBdr>
        </w:div>
        <w:div w:id="1932934296">
          <w:marLeft w:val="0"/>
          <w:marRight w:val="0"/>
          <w:marTop w:val="0"/>
          <w:marBottom w:val="0"/>
          <w:divBdr>
            <w:top w:val="none" w:sz="0" w:space="0" w:color="auto"/>
            <w:left w:val="none" w:sz="0" w:space="0" w:color="auto"/>
            <w:bottom w:val="none" w:sz="0" w:space="0" w:color="auto"/>
            <w:right w:val="none" w:sz="0" w:space="0" w:color="auto"/>
          </w:divBdr>
        </w:div>
      </w:divsChild>
    </w:div>
    <w:div w:id="899101030">
      <w:bodyDiv w:val="1"/>
      <w:marLeft w:val="0"/>
      <w:marRight w:val="0"/>
      <w:marTop w:val="0"/>
      <w:marBottom w:val="0"/>
      <w:divBdr>
        <w:top w:val="none" w:sz="0" w:space="0" w:color="auto"/>
        <w:left w:val="none" w:sz="0" w:space="0" w:color="auto"/>
        <w:bottom w:val="none" w:sz="0" w:space="0" w:color="auto"/>
        <w:right w:val="none" w:sz="0" w:space="0" w:color="auto"/>
      </w:divBdr>
      <w:divsChild>
        <w:div w:id="595359223">
          <w:marLeft w:val="0"/>
          <w:marRight w:val="0"/>
          <w:marTop w:val="0"/>
          <w:marBottom w:val="0"/>
          <w:divBdr>
            <w:top w:val="none" w:sz="0" w:space="0" w:color="auto"/>
            <w:left w:val="none" w:sz="0" w:space="0" w:color="auto"/>
            <w:bottom w:val="none" w:sz="0" w:space="0" w:color="auto"/>
            <w:right w:val="none" w:sz="0" w:space="0" w:color="auto"/>
          </w:divBdr>
        </w:div>
      </w:divsChild>
    </w:div>
    <w:div w:id="901212141">
      <w:bodyDiv w:val="1"/>
      <w:marLeft w:val="0"/>
      <w:marRight w:val="0"/>
      <w:marTop w:val="0"/>
      <w:marBottom w:val="0"/>
      <w:divBdr>
        <w:top w:val="none" w:sz="0" w:space="0" w:color="auto"/>
        <w:left w:val="none" w:sz="0" w:space="0" w:color="auto"/>
        <w:bottom w:val="none" w:sz="0" w:space="0" w:color="auto"/>
        <w:right w:val="none" w:sz="0" w:space="0" w:color="auto"/>
      </w:divBdr>
      <w:divsChild>
        <w:div w:id="89084845">
          <w:marLeft w:val="0"/>
          <w:marRight w:val="0"/>
          <w:marTop w:val="0"/>
          <w:marBottom w:val="0"/>
          <w:divBdr>
            <w:top w:val="none" w:sz="0" w:space="0" w:color="auto"/>
            <w:left w:val="none" w:sz="0" w:space="0" w:color="auto"/>
            <w:bottom w:val="none" w:sz="0" w:space="0" w:color="auto"/>
            <w:right w:val="none" w:sz="0" w:space="0" w:color="auto"/>
          </w:divBdr>
        </w:div>
      </w:divsChild>
    </w:div>
    <w:div w:id="923026480">
      <w:bodyDiv w:val="1"/>
      <w:marLeft w:val="0"/>
      <w:marRight w:val="0"/>
      <w:marTop w:val="0"/>
      <w:marBottom w:val="0"/>
      <w:divBdr>
        <w:top w:val="none" w:sz="0" w:space="0" w:color="auto"/>
        <w:left w:val="none" w:sz="0" w:space="0" w:color="auto"/>
        <w:bottom w:val="none" w:sz="0" w:space="0" w:color="auto"/>
        <w:right w:val="none" w:sz="0" w:space="0" w:color="auto"/>
      </w:divBdr>
    </w:div>
    <w:div w:id="977494203">
      <w:bodyDiv w:val="1"/>
      <w:marLeft w:val="0"/>
      <w:marRight w:val="0"/>
      <w:marTop w:val="0"/>
      <w:marBottom w:val="0"/>
      <w:divBdr>
        <w:top w:val="none" w:sz="0" w:space="0" w:color="auto"/>
        <w:left w:val="none" w:sz="0" w:space="0" w:color="auto"/>
        <w:bottom w:val="none" w:sz="0" w:space="0" w:color="auto"/>
        <w:right w:val="none" w:sz="0" w:space="0" w:color="auto"/>
      </w:divBdr>
      <w:divsChild>
        <w:div w:id="1514035103">
          <w:marLeft w:val="0"/>
          <w:marRight w:val="0"/>
          <w:marTop w:val="0"/>
          <w:marBottom w:val="0"/>
          <w:divBdr>
            <w:top w:val="none" w:sz="0" w:space="0" w:color="auto"/>
            <w:left w:val="none" w:sz="0" w:space="0" w:color="auto"/>
            <w:bottom w:val="none" w:sz="0" w:space="0" w:color="auto"/>
            <w:right w:val="none" w:sz="0" w:space="0" w:color="auto"/>
          </w:divBdr>
        </w:div>
      </w:divsChild>
    </w:div>
    <w:div w:id="996304494">
      <w:bodyDiv w:val="1"/>
      <w:marLeft w:val="0"/>
      <w:marRight w:val="0"/>
      <w:marTop w:val="0"/>
      <w:marBottom w:val="0"/>
      <w:divBdr>
        <w:top w:val="none" w:sz="0" w:space="0" w:color="auto"/>
        <w:left w:val="none" w:sz="0" w:space="0" w:color="auto"/>
        <w:bottom w:val="none" w:sz="0" w:space="0" w:color="auto"/>
        <w:right w:val="none" w:sz="0" w:space="0" w:color="auto"/>
      </w:divBdr>
      <w:divsChild>
        <w:div w:id="1442913938">
          <w:marLeft w:val="0"/>
          <w:marRight w:val="0"/>
          <w:marTop w:val="0"/>
          <w:marBottom w:val="0"/>
          <w:divBdr>
            <w:top w:val="none" w:sz="0" w:space="0" w:color="auto"/>
            <w:left w:val="none" w:sz="0" w:space="0" w:color="auto"/>
            <w:bottom w:val="none" w:sz="0" w:space="0" w:color="auto"/>
            <w:right w:val="none" w:sz="0" w:space="0" w:color="auto"/>
          </w:divBdr>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879510">
      <w:bodyDiv w:val="1"/>
      <w:marLeft w:val="0"/>
      <w:marRight w:val="0"/>
      <w:marTop w:val="0"/>
      <w:marBottom w:val="0"/>
      <w:divBdr>
        <w:top w:val="none" w:sz="0" w:space="0" w:color="auto"/>
        <w:left w:val="none" w:sz="0" w:space="0" w:color="auto"/>
        <w:bottom w:val="none" w:sz="0" w:space="0" w:color="auto"/>
        <w:right w:val="none" w:sz="0" w:space="0" w:color="auto"/>
      </w:divBdr>
    </w:div>
    <w:div w:id="1291549639">
      <w:bodyDiv w:val="1"/>
      <w:marLeft w:val="0"/>
      <w:marRight w:val="0"/>
      <w:marTop w:val="0"/>
      <w:marBottom w:val="0"/>
      <w:divBdr>
        <w:top w:val="none" w:sz="0" w:space="0" w:color="auto"/>
        <w:left w:val="none" w:sz="0" w:space="0" w:color="auto"/>
        <w:bottom w:val="none" w:sz="0" w:space="0" w:color="auto"/>
        <w:right w:val="none" w:sz="0" w:space="0" w:color="auto"/>
      </w:divBdr>
      <w:divsChild>
        <w:div w:id="1922370309">
          <w:marLeft w:val="0"/>
          <w:marRight w:val="0"/>
          <w:marTop w:val="0"/>
          <w:marBottom w:val="0"/>
          <w:divBdr>
            <w:top w:val="none" w:sz="0" w:space="0" w:color="auto"/>
            <w:left w:val="none" w:sz="0" w:space="0" w:color="auto"/>
            <w:bottom w:val="none" w:sz="0" w:space="0" w:color="auto"/>
            <w:right w:val="none" w:sz="0" w:space="0" w:color="auto"/>
          </w:divBdr>
        </w:div>
        <w:div w:id="1327710561">
          <w:marLeft w:val="0"/>
          <w:marRight w:val="0"/>
          <w:marTop w:val="0"/>
          <w:marBottom w:val="0"/>
          <w:divBdr>
            <w:top w:val="none" w:sz="0" w:space="0" w:color="auto"/>
            <w:left w:val="none" w:sz="0" w:space="0" w:color="auto"/>
            <w:bottom w:val="none" w:sz="0" w:space="0" w:color="auto"/>
            <w:right w:val="none" w:sz="0" w:space="0" w:color="auto"/>
          </w:divBdr>
        </w:div>
      </w:divsChild>
    </w:div>
    <w:div w:id="1452286450">
      <w:bodyDiv w:val="1"/>
      <w:marLeft w:val="0"/>
      <w:marRight w:val="0"/>
      <w:marTop w:val="0"/>
      <w:marBottom w:val="0"/>
      <w:divBdr>
        <w:top w:val="none" w:sz="0" w:space="0" w:color="auto"/>
        <w:left w:val="none" w:sz="0" w:space="0" w:color="auto"/>
        <w:bottom w:val="none" w:sz="0" w:space="0" w:color="auto"/>
        <w:right w:val="none" w:sz="0" w:space="0" w:color="auto"/>
      </w:divBdr>
      <w:divsChild>
        <w:div w:id="897471449">
          <w:marLeft w:val="0"/>
          <w:marRight w:val="0"/>
          <w:marTop w:val="0"/>
          <w:marBottom w:val="0"/>
          <w:divBdr>
            <w:top w:val="none" w:sz="0" w:space="0" w:color="auto"/>
            <w:left w:val="none" w:sz="0" w:space="0" w:color="auto"/>
            <w:bottom w:val="none" w:sz="0" w:space="0" w:color="auto"/>
            <w:right w:val="none" w:sz="0" w:space="0" w:color="auto"/>
          </w:divBdr>
        </w:div>
      </w:divsChild>
    </w:div>
    <w:div w:id="1540625894">
      <w:bodyDiv w:val="1"/>
      <w:marLeft w:val="0"/>
      <w:marRight w:val="0"/>
      <w:marTop w:val="0"/>
      <w:marBottom w:val="0"/>
      <w:divBdr>
        <w:top w:val="none" w:sz="0" w:space="0" w:color="auto"/>
        <w:left w:val="none" w:sz="0" w:space="0" w:color="auto"/>
        <w:bottom w:val="none" w:sz="0" w:space="0" w:color="auto"/>
        <w:right w:val="none" w:sz="0" w:space="0" w:color="auto"/>
      </w:divBdr>
      <w:divsChild>
        <w:div w:id="351104318">
          <w:marLeft w:val="0"/>
          <w:marRight w:val="0"/>
          <w:marTop w:val="0"/>
          <w:marBottom w:val="0"/>
          <w:divBdr>
            <w:top w:val="none" w:sz="0" w:space="0" w:color="auto"/>
            <w:left w:val="none" w:sz="0" w:space="0" w:color="auto"/>
            <w:bottom w:val="none" w:sz="0" w:space="0" w:color="auto"/>
            <w:right w:val="none" w:sz="0" w:space="0" w:color="auto"/>
          </w:divBdr>
        </w:div>
        <w:div w:id="211040362">
          <w:marLeft w:val="0"/>
          <w:marRight w:val="0"/>
          <w:marTop w:val="0"/>
          <w:marBottom w:val="0"/>
          <w:divBdr>
            <w:top w:val="none" w:sz="0" w:space="0" w:color="auto"/>
            <w:left w:val="none" w:sz="0" w:space="0" w:color="auto"/>
            <w:bottom w:val="none" w:sz="0" w:space="0" w:color="auto"/>
            <w:right w:val="none" w:sz="0" w:space="0" w:color="auto"/>
          </w:divBdr>
        </w:div>
      </w:divsChild>
    </w:div>
    <w:div w:id="1574120183">
      <w:bodyDiv w:val="1"/>
      <w:marLeft w:val="0"/>
      <w:marRight w:val="0"/>
      <w:marTop w:val="0"/>
      <w:marBottom w:val="0"/>
      <w:divBdr>
        <w:top w:val="none" w:sz="0" w:space="0" w:color="auto"/>
        <w:left w:val="none" w:sz="0" w:space="0" w:color="auto"/>
        <w:bottom w:val="none" w:sz="0" w:space="0" w:color="auto"/>
        <w:right w:val="none" w:sz="0" w:space="0" w:color="auto"/>
      </w:divBdr>
      <w:divsChild>
        <w:div w:id="739520621">
          <w:marLeft w:val="0"/>
          <w:marRight w:val="0"/>
          <w:marTop w:val="0"/>
          <w:marBottom w:val="0"/>
          <w:divBdr>
            <w:top w:val="none" w:sz="0" w:space="0" w:color="auto"/>
            <w:left w:val="none" w:sz="0" w:space="0" w:color="auto"/>
            <w:bottom w:val="none" w:sz="0" w:space="0" w:color="auto"/>
            <w:right w:val="none" w:sz="0" w:space="0" w:color="auto"/>
          </w:divBdr>
        </w:div>
        <w:div w:id="1614247327">
          <w:marLeft w:val="0"/>
          <w:marRight w:val="0"/>
          <w:marTop w:val="0"/>
          <w:marBottom w:val="0"/>
          <w:divBdr>
            <w:top w:val="none" w:sz="0" w:space="0" w:color="auto"/>
            <w:left w:val="none" w:sz="0" w:space="0" w:color="auto"/>
            <w:bottom w:val="none" w:sz="0" w:space="0" w:color="auto"/>
            <w:right w:val="none" w:sz="0" w:space="0" w:color="auto"/>
          </w:divBdr>
        </w:div>
        <w:div w:id="112797056">
          <w:marLeft w:val="0"/>
          <w:marRight w:val="0"/>
          <w:marTop w:val="0"/>
          <w:marBottom w:val="0"/>
          <w:divBdr>
            <w:top w:val="none" w:sz="0" w:space="0" w:color="auto"/>
            <w:left w:val="none" w:sz="0" w:space="0" w:color="auto"/>
            <w:bottom w:val="none" w:sz="0" w:space="0" w:color="auto"/>
            <w:right w:val="none" w:sz="0" w:space="0" w:color="auto"/>
          </w:divBdr>
        </w:div>
        <w:div w:id="943535464">
          <w:marLeft w:val="0"/>
          <w:marRight w:val="0"/>
          <w:marTop w:val="0"/>
          <w:marBottom w:val="0"/>
          <w:divBdr>
            <w:top w:val="none" w:sz="0" w:space="0" w:color="auto"/>
            <w:left w:val="none" w:sz="0" w:space="0" w:color="auto"/>
            <w:bottom w:val="none" w:sz="0" w:space="0" w:color="auto"/>
            <w:right w:val="none" w:sz="0" w:space="0" w:color="auto"/>
          </w:divBdr>
        </w:div>
        <w:div w:id="1696493815">
          <w:marLeft w:val="0"/>
          <w:marRight w:val="0"/>
          <w:marTop w:val="0"/>
          <w:marBottom w:val="0"/>
          <w:divBdr>
            <w:top w:val="none" w:sz="0" w:space="0" w:color="auto"/>
            <w:left w:val="none" w:sz="0" w:space="0" w:color="auto"/>
            <w:bottom w:val="none" w:sz="0" w:space="0" w:color="auto"/>
            <w:right w:val="none" w:sz="0" w:space="0" w:color="auto"/>
          </w:divBdr>
        </w:div>
      </w:divsChild>
    </w:div>
    <w:div w:id="1575551544">
      <w:bodyDiv w:val="1"/>
      <w:marLeft w:val="0"/>
      <w:marRight w:val="0"/>
      <w:marTop w:val="0"/>
      <w:marBottom w:val="0"/>
      <w:divBdr>
        <w:top w:val="none" w:sz="0" w:space="0" w:color="auto"/>
        <w:left w:val="none" w:sz="0" w:space="0" w:color="auto"/>
        <w:bottom w:val="none" w:sz="0" w:space="0" w:color="auto"/>
        <w:right w:val="none" w:sz="0" w:space="0" w:color="auto"/>
      </w:divBdr>
      <w:divsChild>
        <w:div w:id="1253666260">
          <w:marLeft w:val="0"/>
          <w:marRight w:val="0"/>
          <w:marTop w:val="0"/>
          <w:marBottom w:val="0"/>
          <w:divBdr>
            <w:top w:val="none" w:sz="0" w:space="0" w:color="auto"/>
            <w:left w:val="none" w:sz="0" w:space="0" w:color="auto"/>
            <w:bottom w:val="none" w:sz="0" w:space="0" w:color="auto"/>
            <w:right w:val="none" w:sz="0" w:space="0" w:color="auto"/>
          </w:divBdr>
        </w:div>
        <w:div w:id="2042045886">
          <w:marLeft w:val="0"/>
          <w:marRight w:val="0"/>
          <w:marTop w:val="0"/>
          <w:marBottom w:val="0"/>
          <w:divBdr>
            <w:top w:val="none" w:sz="0" w:space="0" w:color="auto"/>
            <w:left w:val="none" w:sz="0" w:space="0" w:color="auto"/>
            <w:bottom w:val="none" w:sz="0" w:space="0" w:color="auto"/>
            <w:right w:val="none" w:sz="0" w:space="0" w:color="auto"/>
          </w:divBdr>
        </w:div>
        <w:div w:id="1826585020">
          <w:marLeft w:val="0"/>
          <w:marRight w:val="0"/>
          <w:marTop w:val="0"/>
          <w:marBottom w:val="0"/>
          <w:divBdr>
            <w:top w:val="none" w:sz="0" w:space="0" w:color="auto"/>
            <w:left w:val="none" w:sz="0" w:space="0" w:color="auto"/>
            <w:bottom w:val="none" w:sz="0" w:space="0" w:color="auto"/>
            <w:right w:val="none" w:sz="0" w:space="0" w:color="auto"/>
          </w:divBdr>
        </w:div>
      </w:divsChild>
    </w:div>
    <w:div w:id="1580675578">
      <w:bodyDiv w:val="1"/>
      <w:marLeft w:val="0"/>
      <w:marRight w:val="0"/>
      <w:marTop w:val="0"/>
      <w:marBottom w:val="0"/>
      <w:divBdr>
        <w:top w:val="none" w:sz="0" w:space="0" w:color="auto"/>
        <w:left w:val="none" w:sz="0" w:space="0" w:color="auto"/>
        <w:bottom w:val="none" w:sz="0" w:space="0" w:color="auto"/>
        <w:right w:val="none" w:sz="0" w:space="0" w:color="auto"/>
      </w:divBdr>
      <w:divsChild>
        <w:div w:id="813721262">
          <w:marLeft w:val="0"/>
          <w:marRight w:val="0"/>
          <w:marTop w:val="0"/>
          <w:marBottom w:val="0"/>
          <w:divBdr>
            <w:top w:val="none" w:sz="0" w:space="0" w:color="auto"/>
            <w:left w:val="none" w:sz="0" w:space="0" w:color="auto"/>
            <w:bottom w:val="none" w:sz="0" w:space="0" w:color="auto"/>
            <w:right w:val="none" w:sz="0" w:space="0" w:color="auto"/>
          </w:divBdr>
        </w:div>
        <w:div w:id="894512674">
          <w:marLeft w:val="0"/>
          <w:marRight w:val="0"/>
          <w:marTop w:val="0"/>
          <w:marBottom w:val="0"/>
          <w:divBdr>
            <w:top w:val="none" w:sz="0" w:space="0" w:color="auto"/>
            <w:left w:val="none" w:sz="0" w:space="0" w:color="auto"/>
            <w:bottom w:val="none" w:sz="0" w:space="0" w:color="auto"/>
            <w:right w:val="none" w:sz="0" w:space="0" w:color="auto"/>
          </w:divBdr>
        </w:div>
      </w:divsChild>
    </w:div>
    <w:div w:id="1679849392">
      <w:bodyDiv w:val="1"/>
      <w:marLeft w:val="0"/>
      <w:marRight w:val="0"/>
      <w:marTop w:val="0"/>
      <w:marBottom w:val="0"/>
      <w:divBdr>
        <w:top w:val="none" w:sz="0" w:space="0" w:color="auto"/>
        <w:left w:val="none" w:sz="0" w:space="0" w:color="auto"/>
        <w:bottom w:val="none" w:sz="0" w:space="0" w:color="auto"/>
        <w:right w:val="none" w:sz="0" w:space="0" w:color="auto"/>
      </w:divBdr>
      <w:divsChild>
        <w:div w:id="1786844164">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52060222">
      <w:bodyDiv w:val="1"/>
      <w:marLeft w:val="0"/>
      <w:marRight w:val="0"/>
      <w:marTop w:val="0"/>
      <w:marBottom w:val="0"/>
      <w:divBdr>
        <w:top w:val="none" w:sz="0" w:space="0" w:color="auto"/>
        <w:left w:val="none" w:sz="0" w:space="0" w:color="auto"/>
        <w:bottom w:val="none" w:sz="0" w:space="0" w:color="auto"/>
        <w:right w:val="none" w:sz="0" w:space="0" w:color="auto"/>
      </w:divBdr>
      <w:divsChild>
        <w:div w:id="2062366440">
          <w:marLeft w:val="0"/>
          <w:marRight w:val="0"/>
          <w:marTop w:val="0"/>
          <w:marBottom w:val="0"/>
          <w:divBdr>
            <w:top w:val="none" w:sz="0" w:space="0" w:color="auto"/>
            <w:left w:val="none" w:sz="0" w:space="0" w:color="auto"/>
            <w:bottom w:val="none" w:sz="0" w:space="0" w:color="auto"/>
            <w:right w:val="none" w:sz="0" w:space="0" w:color="auto"/>
          </w:divBdr>
        </w:div>
      </w:divsChild>
    </w:div>
    <w:div w:id="1902405390">
      <w:bodyDiv w:val="1"/>
      <w:marLeft w:val="0"/>
      <w:marRight w:val="0"/>
      <w:marTop w:val="0"/>
      <w:marBottom w:val="0"/>
      <w:divBdr>
        <w:top w:val="none" w:sz="0" w:space="0" w:color="auto"/>
        <w:left w:val="none" w:sz="0" w:space="0" w:color="auto"/>
        <w:bottom w:val="none" w:sz="0" w:space="0" w:color="auto"/>
        <w:right w:val="none" w:sz="0" w:space="0" w:color="auto"/>
      </w:divBdr>
    </w:div>
    <w:div w:id="1931236346">
      <w:bodyDiv w:val="1"/>
      <w:marLeft w:val="0"/>
      <w:marRight w:val="0"/>
      <w:marTop w:val="0"/>
      <w:marBottom w:val="0"/>
      <w:divBdr>
        <w:top w:val="none" w:sz="0" w:space="0" w:color="auto"/>
        <w:left w:val="none" w:sz="0" w:space="0" w:color="auto"/>
        <w:bottom w:val="none" w:sz="0" w:space="0" w:color="auto"/>
        <w:right w:val="none" w:sz="0" w:space="0" w:color="auto"/>
      </w:divBdr>
      <w:divsChild>
        <w:div w:id="1659849089">
          <w:marLeft w:val="0"/>
          <w:marRight w:val="0"/>
          <w:marTop w:val="0"/>
          <w:marBottom w:val="0"/>
          <w:divBdr>
            <w:top w:val="none" w:sz="0" w:space="0" w:color="auto"/>
            <w:left w:val="none" w:sz="0" w:space="0" w:color="auto"/>
            <w:bottom w:val="none" w:sz="0" w:space="0" w:color="auto"/>
            <w:right w:val="none" w:sz="0" w:space="0" w:color="auto"/>
          </w:divBdr>
        </w:div>
      </w:divsChild>
    </w:div>
    <w:div w:id="1934361293">
      <w:bodyDiv w:val="1"/>
      <w:marLeft w:val="0"/>
      <w:marRight w:val="0"/>
      <w:marTop w:val="0"/>
      <w:marBottom w:val="0"/>
      <w:divBdr>
        <w:top w:val="none" w:sz="0" w:space="0" w:color="auto"/>
        <w:left w:val="none" w:sz="0" w:space="0" w:color="auto"/>
        <w:bottom w:val="none" w:sz="0" w:space="0" w:color="auto"/>
        <w:right w:val="none" w:sz="0" w:space="0" w:color="auto"/>
      </w:divBdr>
      <w:divsChild>
        <w:div w:id="481041189">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490261">
      <w:bodyDiv w:val="1"/>
      <w:marLeft w:val="0"/>
      <w:marRight w:val="0"/>
      <w:marTop w:val="0"/>
      <w:marBottom w:val="0"/>
      <w:divBdr>
        <w:top w:val="none" w:sz="0" w:space="0" w:color="auto"/>
        <w:left w:val="none" w:sz="0" w:space="0" w:color="auto"/>
        <w:bottom w:val="none" w:sz="0" w:space="0" w:color="auto"/>
        <w:right w:val="none" w:sz="0" w:space="0" w:color="auto"/>
      </w:divBdr>
      <w:divsChild>
        <w:div w:id="1085765571">
          <w:marLeft w:val="0"/>
          <w:marRight w:val="0"/>
          <w:marTop w:val="0"/>
          <w:marBottom w:val="0"/>
          <w:divBdr>
            <w:top w:val="none" w:sz="0" w:space="0" w:color="auto"/>
            <w:left w:val="none" w:sz="0" w:space="0" w:color="auto"/>
            <w:bottom w:val="none" w:sz="0" w:space="0" w:color="auto"/>
            <w:right w:val="none" w:sz="0" w:space="0" w:color="auto"/>
          </w:divBdr>
        </w:div>
        <w:div w:id="7066112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711164634/https://www.minambiente.gov.co/documento-normativa/resolucion-0849-de-2022/"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roperties xmlns="http://www.imanage.com/work/xmlschema">
  <documentid>NORTHLATAM!11709413.1</documentid>
  <senderid>JUAN.FELIPE.TABOADA</senderid>
  <senderemail>JUAN.FELIPE.TABOADA@GARRIGUES.COM</senderemail>
  <lastmodified>2025-07-08T17:48:00.0000000-05:00</lastmodified>
  <database>NORTHLATAM</database>
</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18C0BF4F-E2A3-4F03-9C54-111B3C89C0EC}"/>
</file>

<file path=customXml/itemProps4.xml><?xml version="1.0" encoding="utf-8"?>
<ds:datastoreItem xmlns:ds="http://schemas.openxmlformats.org/officeDocument/2006/customXml" ds:itemID="{CA0B7463-9534-4C60-9CB1-74EDD23CCBD6}">
  <ds:schemaRefs>
    <ds:schemaRef ds:uri="http://www.imanage.com/work/xmlschema"/>
  </ds:schemaRefs>
</ds:datastoreItem>
</file>

<file path=customXml/itemProps5.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115</Pages>
  <Words>22657</Words>
  <Characters>135492</Characters>
  <Application>Microsoft Office Word</Application>
  <DocSecurity>0</DocSecurity>
  <Lines>8468</Lines>
  <Paragraphs>4792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5</cp:revision>
  <cp:lastPrinted>2025-03-21T00:14:00Z</cp:lastPrinted>
  <dcterms:created xsi:type="dcterms:W3CDTF">2025-07-08T22:48:00Z</dcterms:created>
  <dcterms:modified xsi:type="dcterms:W3CDTF">2025-07-11T16:51:00Z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